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2C2" w:rsidRPr="00D862FC"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843" w:type="dxa"/>
        <w:jc w:val="center"/>
        <w:tblBorders>
          <w:insideH w:val="single" w:sz="4" w:space="0" w:color="E7E6E6" w:themeColor="background2"/>
          <w:insideV w:val="single" w:sz="4" w:space="0" w:color="E7E6E6" w:themeColor="background2"/>
        </w:tblBorders>
        <w:tblLayout w:type="fixed"/>
        <w:tblCellMar>
          <w:left w:w="0" w:type="dxa"/>
          <w:right w:w="113" w:type="dxa"/>
        </w:tblCellMar>
        <w:tblLook w:val="04A0" w:firstRow="1" w:lastRow="0" w:firstColumn="1" w:lastColumn="0" w:noHBand="0" w:noVBand="1"/>
      </w:tblPr>
      <w:tblGrid>
        <w:gridCol w:w="70"/>
        <w:gridCol w:w="63"/>
        <w:gridCol w:w="607"/>
        <w:gridCol w:w="377"/>
        <w:gridCol w:w="115"/>
        <w:gridCol w:w="28"/>
        <w:gridCol w:w="546"/>
        <w:gridCol w:w="1176"/>
        <w:gridCol w:w="392"/>
        <w:gridCol w:w="42"/>
        <w:gridCol w:w="145"/>
        <w:gridCol w:w="550"/>
        <w:gridCol w:w="879"/>
        <w:gridCol w:w="120"/>
        <w:gridCol w:w="504"/>
        <w:gridCol w:w="208"/>
        <w:gridCol w:w="557"/>
        <w:gridCol w:w="163"/>
        <w:gridCol w:w="111"/>
        <w:gridCol w:w="66"/>
        <w:gridCol w:w="561"/>
        <w:gridCol w:w="153"/>
        <w:gridCol w:w="51"/>
        <w:gridCol w:w="145"/>
        <w:gridCol w:w="686"/>
        <w:gridCol w:w="168"/>
        <w:gridCol w:w="201"/>
        <w:gridCol w:w="367"/>
        <w:gridCol w:w="95"/>
        <w:gridCol w:w="831"/>
        <w:gridCol w:w="373"/>
        <w:gridCol w:w="423"/>
        <w:gridCol w:w="70"/>
      </w:tblGrid>
      <w:tr w:rsidR="007912C2" w:rsidRPr="00D862FC" w:rsidTr="0098446A">
        <w:trPr>
          <w:trHeight w:hRule="exact" w:val="227"/>
          <w:jc w:val="center"/>
        </w:trPr>
        <w:tc>
          <w:tcPr>
            <w:tcW w:w="133" w:type="dxa"/>
            <w:gridSpan w:val="2"/>
            <w:tcBorders>
              <w:top w:val="nil"/>
              <w:left w:val="nil"/>
              <w:bottom w:val="single" w:sz="4" w:space="0" w:color="auto"/>
              <w:right w:val="nil"/>
            </w:tcBorders>
            <w:shd w:val="clear" w:color="auto" w:fill="auto"/>
          </w:tcPr>
          <w:p w:rsidR="007912C2" w:rsidRPr="00CF7945" w:rsidRDefault="007912C2" w:rsidP="00CF7945">
            <w:pPr>
              <w:keepNext/>
              <w:keepLines/>
              <w:rPr>
                <w:rFonts w:ascii="Calibri" w:hAnsi="Calibri" w:cs="Calibri"/>
                <w:color w:val="FFFFFF" w:themeColor="background1"/>
              </w:rPr>
            </w:pPr>
          </w:p>
        </w:tc>
        <w:tc>
          <w:tcPr>
            <w:tcW w:w="3428" w:type="dxa"/>
            <w:gridSpan w:val="9"/>
            <w:tcBorders>
              <w:top w:val="nil"/>
              <w:left w:val="nil"/>
              <w:bottom w:val="single" w:sz="4" w:space="0" w:color="auto"/>
              <w:right w:val="nil"/>
            </w:tcBorders>
            <w:shd w:val="clear" w:color="auto" w:fill="auto"/>
            <w:vAlign w:val="center"/>
          </w:tcPr>
          <w:p w:rsidR="007912C2" w:rsidRPr="00CF7945" w:rsidRDefault="007912C2" w:rsidP="00CF7945">
            <w:pPr>
              <w:keepNext/>
              <w:keepLines/>
              <w:jc w:val="center"/>
              <w:rPr>
                <w:rFonts w:ascii="Calibri" w:hAnsi="Calibri" w:cs="Calibri"/>
                <w:color w:val="FFFFFF" w:themeColor="background1"/>
                <w:szCs w:val="26"/>
              </w:rPr>
            </w:pPr>
          </w:p>
        </w:tc>
        <w:tc>
          <w:tcPr>
            <w:tcW w:w="1429" w:type="dxa"/>
            <w:gridSpan w:val="2"/>
            <w:tcBorders>
              <w:top w:val="nil"/>
              <w:left w:val="nil"/>
              <w:bottom w:val="single" w:sz="4" w:space="0" w:color="auto"/>
              <w:right w:val="dotted" w:sz="4" w:space="0" w:color="auto"/>
            </w:tcBorders>
            <w:shd w:val="clear" w:color="auto" w:fill="auto"/>
            <w:noWrap/>
            <w:tcMar>
              <w:left w:w="0" w:type="dxa"/>
              <w:bottom w:w="0" w:type="dxa"/>
              <w:right w:w="0" w:type="dxa"/>
            </w:tcMar>
            <w:vAlign w:val="center"/>
          </w:tcPr>
          <w:p w:rsidR="007912C2" w:rsidRPr="00D862FC" w:rsidRDefault="007912C2" w:rsidP="00CF7945">
            <w:pPr>
              <w:keepNext/>
              <w:keepLines/>
              <w:spacing w:line="259" w:lineRule="auto"/>
              <w:jc w:val="center"/>
              <w:rPr>
                <w:rFonts w:ascii="Calibri" w:hAnsi="Calibri" w:cs="Calibri"/>
                <w:sz w:val="26"/>
                <w:szCs w:val="26"/>
              </w:rPr>
            </w:pPr>
          </w:p>
        </w:tc>
        <w:tc>
          <w:tcPr>
            <w:tcW w:w="832"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7945">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1" w:type="dxa"/>
            <w:gridSpan w:val="3"/>
            <w:tcBorders>
              <w:top w:val="dotted" w:sz="4" w:space="0" w:color="auto"/>
              <w:left w:val="nil"/>
              <w:bottom w:val="single" w:sz="4" w:space="0" w:color="auto"/>
              <w:right w:val="nil"/>
            </w:tcBorders>
            <w:vAlign w:val="center"/>
          </w:tcPr>
          <w:p w:rsidR="007912C2" w:rsidRPr="00A45B81" w:rsidRDefault="007912C2" w:rsidP="00CF7945">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80" w:type="dxa"/>
            <w:gridSpan w:val="3"/>
            <w:tcBorders>
              <w:top w:val="dotted" w:sz="4" w:space="0" w:color="auto"/>
              <w:left w:val="nil"/>
              <w:bottom w:val="single" w:sz="4" w:space="0" w:color="auto"/>
              <w:right w:val="nil"/>
            </w:tcBorders>
            <w:tcMar>
              <w:left w:w="142" w:type="dxa"/>
            </w:tcMar>
            <w:vAlign w:val="center"/>
          </w:tcPr>
          <w:p w:rsidR="007912C2" w:rsidRPr="00A45B81" w:rsidRDefault="007912C2" w:rsidP="00CF7945">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1050" w:type="dxa"/>
            <w:gridSpan w:val="4"/>
            <w:tcBorders>
              <w:top w:val="dotted" w:sz="4" w:space="0" w:color="auto"/>
              <w:left w:val="nil"/>
              <w:bottom w:val="single" w:sz="4" w:space="0" w:color="auto"/>
              <w:right w:val="nil"/>
            </w:tcBorders>
            <w:vAlign w:val="center"/>
          </w:tcPr>
          <w:p w:rsidR="007912C2" w:rsidRPr="00A45B81" w:rsidRDefault="007912C2" w:rsidP="00CF7945">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663" w:type="dxa"/>
            <w:gridSpan w:val="3"/>
            <w:tcBorders>
              <w:top w:val="dotted" w:sz="4" w:space="0" w:color="auto"/>
              <w:left w:val="nil"/>
              <w:bottom w:val="single" w:sz="4" w:space="0" w:color="auto"/>
              <w:right w:val="nil"/>
            </w:tcBorders>
            <w:tcMar>
              <w:right w:w="142" w:type="dxa"/>
            </w:tcMar>
            <w:vAlign w:val="center"/>
          </w:tcPr>
          <w:p w:rsidR="007912C2" w:rsidRPr="00A45B81" w:rsidRDefault="007912C2" w:rsidP="00CF7945">
            <w:pPr>
              <w:keepNext/>
              <w:keepLines/>
              <w:ind w:right="-13"/>
              <w:jc w:val="center"/>
              <w:rPr>
                <w:i/>
                <w:color w:val="808080" w:themeColor="background1" w:themeShade="80"/>
                <w:sz w:val="18"/>
                <w:szCs w:val="18"/>
              </w:rPr>
            </w:pPr>
            <w:r w:rsidRPr="00A45B81">
              <w:rPr>
                <w:i/>
                <w:color w:val="808080" w:themeColor="background1" w:themeShade="80"/>
                <w:sz w:val="18"/>
                <w:szCs w:val="18"/>
              </w:rPr>
              <w:t>Link</w:t>
            </w:r>
          </w:p>
        </w:tc>
        <w:tc>
          <w:tcPr>
            <w:tcW w:w="831" w:type="dxa"/>
            <w:tcBorders>
              <w:top w:val="dotted" w:sz="4" w:space="0" w:color="auto"/>
              <w:left w:val="nil"/>
              <w:bottom w:val="single" w:sz="4" w:space="0" w:color="auto"/>
              <w:right w:val="nil"/>
            </w:tcBorders>
            <w:vAlign w:val="center"/>
          </w:tcPr>
          <w:p w:rsidR="007912C2" w:rsidRPr="00A45B81" w:rsidRDefault="007912C2" w:rsidP="00CF7945">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96" w:type="dxa"/>
            <w:gridSpan w:val="2"/>
            <w:tcBorders>
              <w:top w:val="dotted" w:sz="4" w:space="0" w:color="auto"/>
              <w:left w:val="nil"/>
              <w:bottom w:val="single" w:sz="4" w:space="0" w:color="auto"/>
              <w:right w:val="nil"/>
            </w:tcBorders>
            <w:shd w:val="clear" w:color="auto" w:fill="FFFFFF" w:themeFill="background1"/>
            <w:noWrap/>
            <w:tcMar>
              <w:bottom w:w="0" w:type="dxa"/>
            </w:tcMar>
            <w:vAlign w:val="bottom"/>
          </w:tcPr>
          <w:p w:rsidR="007912C2" w:rsidRPr="00A45B81" w:rsidRDefault="007912C2" w:rsidP="0098446A">
            <w:pPr>
              <w:keepNext/>
              <w:keepLines/>
              <w:ind w:right="-176"/>
              <w:jc w:val="center"/>
              <w:rPr>
                <w:i/>
                <w:color w:val="808080" w:themeColor="background1" w:themeShade="80"/>
                <w:sz w:val="18"/>
                <w:szCs w:val="18"/>
              </w:rPr>
            </w:pPr>
            <w:r w:rsidRPr="00A45B81">
              <w:rPr>
                <w:i/>
                <w:color w:val="808080" w:themeColor="background1" w:themeShade="80"/>
                <w:sz w:val="18"/>
                <w:szCs w:val="18"/>
              </w:rPr>
              <w:t xml:space="preserve">Parent </w:t>
            </w:r>
            <w:r>
              <w:rPr>
                <w:i/>
                <w:color w:val="808080" w:themeColor="background1" w:themeShade="80"/>
                <w:sz w:val="18"/>
                <w:szCs w:val="18"/>
              </w:rPr>
              <w:t>ID</w:t>
            </w:r>
          </w:p>
        </w:tc>
        <w:tc>
          <w:tcPr>
            <w:tcW w:w="70" w:type="dxa"/>
            <w:tcBorders>
              <w:top w:val="dotted" w:sz="4" w:space="0" w:color="auto"/>
              <w:left w:val="nil"/>
              <w:bottom w:val="single" w:sz="4" w:space="0" w:color="auto"/>
              <w:right w:val="dotted" w:sz="4" w:space="0" w:color="auto"/>
            </w:tcBorders>
            <w:tcMar>
              <w:left w:w="0" w:type="dxa"/>
              <w:bottom w:w="0" w:type="dxa"/>
              <w:right w:w="0" w:type="dxa"/>
            </w:tcMar>
          </w:tcPr>
          <w:p w:rsidR="007912C2" w:rsidRPr="00D862FC" w:rsidRDefault="007912C2" w:rsidP="00CF7945">
            <w:pPr>
              <w:keepNext/>
              <w:keepLines/>
              <w:rPr>
                <w:rFonts w:ascii="Calibri" w:hAnsi="Calibri" w:cs="Calibri"/>
                <w:szCs w:val="20"/>
              </w:rPr>
            </w:pPr>
          </w:p>
        </w:tc>
      </w:tr>
      <w:tr w:rsidR="007912C2" w:rsidRPr="00D862FC" w:rsidTr="0098446A">
        <w:trPr>
          <w:trHeight w:hRule="exact" w:val="397"/>
          <w:jc w:val="center"/>
        </w:trPr>
        <w:tc>
          <w:tcPr>
            <w:tcW w:w="133" w:type="dxa"/>
            <w:gridSpan w:val="2"/>
            <w:tcBorders>
              <w:top w:val="single" w:sz="4" w:space="0" w:color="auto"/>
              <w:bottom w:val="single" w:sz="4" w:space="0" w:color="auto"/>
              <w:right w:val="nil"/>
            </w:tcBorders>
            <w:shd w:val="clear" w:color="auto" w:fill="33CC66"/>
          </w:tcPr>
          <w:p w:rsidR="007912C2" w:rsidRPr="00D862FC" w:rsidRDefault="007912C2" w:rsidP="00CF7945">
            <w:pPr>
              <w:keepNext/>
              <w:keepLines/>
              <w:rPr>
                <w:rFonts w:ascii="Calibri" w:hAnsi="Calibri" w:cs="Calibri"/>
                <w:color w:val="FF7B00"/>
              </w:rPr>
            </w:pPr>
            <w:bookmarkStart w:id="0" w:name="w2t43502" w:colFirst="2" w:colLast="2"/>
            <w:r w:rsidRPr="00E67B05">
              <w:rPr>
                <w:rFonts w:ascii="Calibri" w:hAnsi="Calibri" w:cs="Calibri"/>
                <w:color w:val="33CC66"/>
              </w:rPr>
              <w:t>2.0</w:t>
            </w:r>
          </w:p>
        </w:tc>
        <w:tc>
          <w:tcPr>
            <w:tcW w:w="3428" w:type="dxa"/>
            <w:gridSpan w:val="9"/>
            <w:tcBorders>
              <w:top w:val="single" w:sz="4" w:space="0" w:color="auto"/>
              <w:left w:val="nil"/>
              <w:bottom w:val="single" w:sz="4" w:space="0" w:color="auto"/>
              <w:right w:val="single" w:sz="4" w:space="0" w:color="auto"/>
            </w:tcBorders>
            <w:shd w:val="clear" w:color="auto" w:fill="33CC66"/>
            <w:vAlign w:val="center"/>
          </w:tcPr>
          <w:p w:rsidR="007912C2" w:rsidRPr="00D862FC" w:rsidRDefault="007912C2" w:rsidP="00CF7945">
            <w:pPr>
              <w:keepNext/>
              <w:keepLines/>
              <w:jc w:val="center"/>
              <w:rPr>
                <w:rFonts w:ascii="Calibri" w:hAnsi="Calibri" w:cs="Calibri"/>
                <w:szCs w:val="26"/>
              </w:rPr>
            </w:pPr>
            <w:permStart w:id="1126844018" w:edGrp="everyone"/>
            <w:r>
              <w:rPr>
                <w:rFonts w:ascii="Calibri" w:hAnsi="Calibri" w:cs="Calibri"/>
                <w:szCs w:val="26"/>
              </w:rPr>
              <w:t>_</w:t>
            </w:r>
            <w:permEnd w:id="1126844018"/>
          </w:p>
        </w:tc>
        <w:tc>
          <w:tcPr>
            <w:tcW w:w="1429" w:type="dxa"/>
            <w:gridSpan w:val="2"/>
            <w:tcBorders>
              <w:top w:val="single" w:sz="4" w:space="0" w:color="auto"/>
              <w:left w:val="single" w:sz="4" w:space="0" w:color="auto"/>
              <w:bottom w:val="single" w:sz="4" w:space="0" w:color="auto"/>
              <w:right w:val="single" w:sz="4" w:space="0" w:color="auto"/>
            </w:tcBorders>
            <w:shd w:val="clear" w:color="auto" w:fill="33CC66"/>
            <w:noWrap/>
            <w:tcMar>
              <w:left w:w="0" w:type="dxa"/>
              <w:bottom w:w="0" w:type="dxa"/>
              <w:right w:w="0" w:type="dxa"/>
            </w:tcMar>
            <w:vAlign w:val="center"/>
          </w:tcPr>
          <w:p w:rsidR="007912C2" w:rsidRPr="00D862FC" w:rsidRDefault="007912C2" w:rsidP="00CF7945">
            <w:pPr>
              <w:keepNext/>
              <w:keepLines/>
              <w:jc w:val="center"/>
              <w:rPr>
                <w:rFonts w:ascii="Calibri" w:hAnsi="Calibri" w:cs="Calibri"/>
                <w:sz w:val="28"/>
                <w:szCs w:val="28"/>
              </w:rPr>
            </w:pPr>
            <w:r w:rsidRPr="00D862FC">
              <w:rPr>
                <w:rFonts w:ascii="Calibri" w:hAnsi="Calibri" w:cs="Calibri"/>
                <w:sz w:val="26"/>
                <w:szCs w:val="26"/>
              </w:rPr>
              <w:t>E</w:t>
            </w:r>
            <w:r w:rsidRPr="00D862FC">
              <w:rPr>
                <w:rFonts w:ascii="Calibri" w:hAnsi="Calibri" w:cs="Calibri"/>
                <w:spacing w:val="-20"/>
                <w:sz w:val="6"/>
                <w:szCs w:val="2"/>
              </w:rPr>
              <w:t>1</w:t>
            </w:r>
            <w:r w:rsidRPr="00D862FC">
              <w:rPr>
                <w:rFonts w:ascii="Calibri" w:hAnsi="Calibri" w:cs="Calibri"/>
                <w:sz w:val="26"/>
                <w:szCs w:val="26"/>
              </w:rPr>
              <w:t>pic</w:t>
            </w:r>
          </w:p>
        </w:tc>
        <w:tc>
          <w:tcPr>
            <w:tcW w:w="832"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D862FC" w:rsidRDefault="007912C2" w:rsidP="00CF7945">
            <w:pPr>
              <w:keepNext/>
              <w:keepLines/>
              <w:jc w:val="center"/>
              <w:rPr>
                <w:rFonts w:ascii="Calibri" w:hAnsi="Calibri" w:cs="Calibri"/>
                <w:color w:val="808080" w:themeColor="background1" w:themeShade="80"/>
                <w:szCs w:val="20"/>
              </w:rPr>
            </w:pPr>
            <w:hyperlink r:id="rId5" w:history="1">
              <w:r w:rsidRPr="007912C2">
                <w:rPr>
                  <w:rStyle w:val="Collegamentoipertestuale"/>
                  <w:rFonts w:ascii="Calibri" w:hAnsi="Calibri" w:cs="Calibri"/>
                  <w:szCs w:val="20"/>
                </w:rPr>
                <w:t>43502</w:t>
              </w:r>
            </w:hyperlink>
          </w:p>
        </w:tc>
        <w:tc>
          <w:tcPr>
            <w:tcW w:w="831"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D862FC" w:rsidRDefault="007912C2" w:rsidP="00CF7945">
            <w:pPr>
              <w:keepNext/>
              <w:keepLines/>
              <w:jc w:val="center"/>
              <w:rPr>
                <w:rFonts w:ascii="Calibri" w:hAnsi="Calibri" w:cs="Calibri"/>
                <w:color w:val="808080" w:themeColor="background1" w:themeShade="80"/>
                <w:szCs w:val="20"/>
              </w:rPr>
            </w:pPr>
            <w:hyperlink r:id="rId6" w:history="1">
              <w:r w:rsidRPr="007912C2">
                <w:rPr>
                  <w:rStyle w:val="Collegamentoipertestuale"/>
                  <w:rFonts w:ascii="Calibri" w:hAnsi="Calibri" w:cs="Calibri"/>
                  <w:szCs w:val="20"/>
                </w:rPr>
                <w:t>67</w:t>
              </w:r>
            </w:hyperlink>
          </w:p>
        </w:tc>
        <w:tc>
          <w:tcPr>
            <w:tcW w:w="831" w:type="dxa"/>
            <w:gridSpan w:val="4"/>
            <w:tcBorders>
              <w:top w:val="single" w:sz="4" w:space="0" w:color="auto"/>
              <w:bottom w:val="single" w:sz="4" w:space="0" w:color="auto"/>
              <w:right w:val="dotted" w:sz="4" w:space="0" w:color="auto"/>
            </w:tcBorders>
            <w:shd w:val="clear" w:color="auto" w:fill="FFFF99"/>
            <w:vAlign w:val="center"/>
          </w:tcPr>
          <w:p w:rsidR="007912C2" w:rsidRPr="00D862FC" w:rsidRDefault="007912C2" w:rsidP="00CF7945">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1" w:type="dxa"/>
            <w:gridSpan w:val="2"/>
            <w:tcBorders>
              <w:top w:val="single" w:sz="4" w:space="0" w:color="auto"/>
              <w:bottom w:val="single" w:sz="4" w:space="0" w:color="auto"/>
              <w:right w:val="dotted" w:sz="4" w:space="0" w:color="auto"/>
            </w:tcBorders>
            <w:shd w:val="clear" w:color="auto" w:fill="FFFF99"/>
            <w:vAlign w:val="center"/>
          </w:tcPr>
          <w:p w:rsidR="007912C2" w:rsidRPr="00D862FC" w:rsidRDefault="007912C2" w:rsidP="00CF7945">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1" w:type="dxa"/>
            <w:gridSpan w:val="4"/>
            <w:tcBorders>
              <w:top w:val="single" w:sz="4" w:space="0" w:color="auto"/>
              <w:bottom w:val="single" w:sz="4" w:space="0" w:color="auto"/>
              <w:right w:val="dotted" w:sz="4" w:space="0" w:color="auto"/>
            </w:tcBorders>
            <w:shd w:val="clear" w:color="auto" w:fill="FFFF99"/>
            <w:vAlign w:val="center"/>
          </w:tcPr>
          <w:p w:rsidR="007912C2" w:rsidRPr="00D862FC" w:rsidRDefault="007912C2" w:rsidP="00CF7945">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43</w:t>
            </w:r>
          </w:p>
        </w:tc>
        <w:tc>
          <w:tcPr>
            <w:tcW w:w="831" w:type="dxa"/>
            <w:tcBorders>
              <w:top w:val="single" w:sz="4" w:space="0" w:color="auto"/>
              <w:bottom w:val="single" w:sz="4" w:space="0" w:color="auto"/>
              <w:right w:val="single" w:sz="4" w:space="0" w:color="auto"/>
            </w:tcBorders>
            <w:shd w:val="clear" w:color="auto" w:fill="FFFF99"/>
            <w:vAlign w:val="center"/>
          </w:tcPr>
          <w:p w:rsidR="007912C2" w:rsidRPr="00D862FC" w:rsidRDefault="007912C2" w:rsidP="00CF7945">
            <w:pPr>
              <w:keepNext/>
              <w:keepLines/>
              <w:jc w:val="center"/>
              <w:rPr>
                <w:rFonts w:ascii="Calibri" w:hAnsi="Calibri" w:cs="Calibri"/>
                <w:color w:val="808080" w:themeColor="background1" w:themeShade="80"/>
                <w:szCs w:val="20"/>
              </w:rPr>
            </w:pPr>
          </w:p>
        </w:tc>
        <w:tc>
          <w:tcPr>
            <w:tcW w:w="796" w:type="dxa"/>
            <w:gridSpan w:val="2"/>
            <w:tcBorders>
              <w:top w:val="single" w:sz="4" w:space="0" w:color="auto"/>
              <w:left w:val="single" w:sz="4" w:space="0" w:color="auto"/>
              <w:bottom w:val="single" w:sz="4" w:space="0" w:color="auto"/>
              <w:right w:val="nil"/>
            </w:tcBorders>
            <w:shd w:val="clear" w:color="auto" w:fill="E7E6E6"/>
            <w:tcMar>
              <w:bottom w:w="0" w:type="dxa"/>
            </w:tcMar>
            <w:vAlign w:val="center"/>
          </w:tcPr>
          <w:p w:rsidR="007912C2" w:rsidRPr="00D862FC" w:rsidRDefault="007912C2" w:rsidP="00CF7945">
            <w:pPr>
              <w:keepNext/>
              <w:keepLines/>
              <w:jc w:val="center"/>
              <w:rPr>
                <w:rFonts w:ascii="Calibri" w:hAnsi="Calibri" w:cs="Calibri"/>
                <w:szCs w:val="20"/>
              </w:rPr>
            </w:pPr>
            <w:r>
              <w:rPr>
                <w:rFonts w:ascii="Calibri" w:hAnsi="Calibri" w:cs="Calibri"/>
                <w:szCs w:val="20"/>
              </w:rPr>
              <w:t>8255</w:t>
            </w:r>
          </w:p>
        </w:tc>
        <w:tc>
          <w:tcPr>
            <w:tcW w:w="70"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tcPr>
          <w:p w:rsidR="007912C2" w:rsidRPr="00D862FC" w:rsidRDefault="007912C2" w:rsidP="00CF7945">
            <w:pPr>
              <w:keepNext/>
              <w:keepLines/>
              <w:jc w:val="center"/>
              <w:rPr>
                <w:rFonts w:ascii="Calibri" w:hAnsi="Calibri" w:cs="Calibri"/>
                <w:szCs w:val="20"/>
              </w:rPr>
            </w:pPr>
          </w:p>
        </w:tc>
      </w:tr>
      <w:bookmarkEnd w:id="0"/>
      <w:tr w:rsidR="007912C2" w:rsidRPr="00D862FC" w:rsidTr="0098446A">
        <w:trPr>
          <w:trHeight w:hRule="exact" w:val="397"/>
          <w:jc w:val="center"/>
        </w:trPr>
        <w:tc>
          <w:tcPr>
            <w:tcW w:w="70" w:type="dxa"/>
            <w:tcBorders>
              <w:top w:val="single" w:sz="4" w:space="0" w:color="auto"/>
              <w:bottom w:val="nil"/>
              <w:right w:val="nil"/>
            </w:tcBorders>
            <w:tcMar>
              <w:top w:w="57" w:type="dxa"/>
              <w:left w:w="0" w:type="dxa"/>
              <w:bottom w:w="28" w:type="dxa"/>
              <w:right w:w="0" w:type="dxa"/>
            </w:tcMar>
            <w:vAlign w:val="center"/>
          </w:tcPr>
          <w:p w:rsidR="007912C2" w:rsidRPr="007912C2" w:rsidRDefault="007912C2" w:rsidP="00CF7945">
            <w:pPr>
              <w:pStyle w:val="TFSWorkitem2"/>
              <w:keepLines/>
              <w:rPr>
                <w:lang w:val="it-IT"/>
              </w:rPr>
            </w:pPr>
            <w:r w:rsidRPr="007912C2">
              <w:rPr>
                <w:lang w:val="it-IT"/>
              </w:rPr>
              <w:t>Epic 43502 - Gestione indennità d'impiego operativo</w:t>
            </w:r>
          </w:p>
        </w:tc>
        <w:tc>
          <w:tcPr>
            <w:tcW w:w="1162" w:type="dxa"/>
            <w:gridSpan w:val="4"/>
            <w:tcBorders>
              <w:top w:val="single" w:sz="4" w:space="0" w:color="auto"/>
              <w:left w:val="nil"/>
              <w:bottom w:val="single" w:sz="4" w:space="0" w:color="E7E6E6" w:themeColor="background2"/>
            </w:tcBorders>
            <w:tcMar>
              <w:top w:w="57" w:type="dxa"/>
              <w:left w:w="0" w:type="dxa"/>
              <w:bottom w:w="28" w:type="dxa"/>
              <w:right w:w="57" w:type="dxa"/>
            </w:tcMar>
            <w:vAlign w:val="center"/>
          </w:tcPr>
          <w:p w:rsidR="007912C2" w:rsidRPr="004952F2" w:rsidRDefault="007912C2" w:rsidP="00CF7945">
            <w:pPr>
              <w:keepNext/>
              <w:keepLines/>
              <w:jc w:val="right"/>
              <w:rPr>
                <w:rFonts w:cstheme="minorHAnsi"/>
                <w:i/>
                <w:color w:val="808080" w:themeColor="background1" w:themeShade="80"/>
                <w:sz w:val="18"/>
                <w:szCs w:val="18"/>
              </w:rPr>
            </w:pPr>
            <w:r>
              <w:rPr>
                <w:rFonts w:cstheme="minorHAnsi"/>
                <w:i/>
                <w:color w:val="808080" w:themeColor="background1" w:themeShade="80"/>
                <w:sz w:val="18"/>
                <w:szCs w:val="18"/>
              </w:rPr>
              <w:t>Changed Date</w:t>
            </w:r>
          </w:p>
        </w:tc>
        <w:tc>
          <w:tcPr>
            <w:tcW w:w="2142" w:type="dxa"/>
            <w:gridSpan w:val="4"/>
            <w:tcBorders>
              <w:top w:val="single" w:sz="4" w:space="0" w:color="auto"/>
              <w:left w:val="nil"/>
              <w:bottom w:val="single" w:sz="4" w:space="0" w:color="E7E6E6" w:themeColor="background2"/>
              <w:right w:val="nil"/>
            </w:tcBorders>
            <w:noWrap/>
            <w:tcMar>
              <w:left w:w="57" w:type="dxa"/>
            </w:tcMar>
            <w:vAlign w:val="center"/>
          </w:tcPr>
          <w:p w:rsidR="007912C2" w:rsidRPr="00D862FC" w:rsidRDefault="007912C2" w:rsidP="00CF7945">
            <w:pPr>
              <w:keepNext/>
              <w:keepLines/>
              <w:rPr>
                <w:rFonts w:ascii="Calibri" w:hAnsi="Calibri" w:cs="Calibri"/>
                <w:color w:val="000000" w:themeColor="text1"/>
                <w:szCs w:val="20"/>
              </w:rPr>
            </w:pPr>
            <w:r>
              <w:rPr>
                <w:rFonts w:ascii="Calibri" w:hAnsi="Calibri" w:cs="Calibri"/>
                <w:color w:val="000000" w:themeColor="text1"/>
                <w:szCs w:val="20"/>
              </w:rPr>
              <w:t>01/08/2019 11:37</w:t>
            </w:r>
          </w:p>
        </w:tc>
        <w:tc>
          <w:tcPr>
            <w:tcW w:w="737" w:type="dxa"/>
            <w:gridSpan w:val="3"/>
            <w:tcBorders>
              <w:top w:val="single" w:sz="4" w:space="0" w:color="auto"/>
              <w:left w:val="nil"/>
              <w:bottom w:val="single" w:sz="4" w:space="0" w:color="E7E6E6" w:themeColor="background2"/>
            </w:tcBorders>
            <w:tcMar>
              <w:right w:w="57" w:type="dxa"/>
            </w:tcMar>
            <w:vAlign w:val="center"/>
          </w:tcPr>
          <w:p w:rsidR="007912C2" w:rsidRPr="004952F2" w:rsidRDefault="007912C2" w:rsidP="00CF7945">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4246928" w:edGrp="everyone" w:displacedByCustomXml="next"/>
        <w:sdt>
          <w:sdtPr>
            <w:rPr>
              <w:rFonts w:ascii="Calibri" w:hAnsi="Calibri" w:cs="Calibri"/>
              <w:color w:val="000000" w:themeColor="text1"/>
              <w:szCs w:val="20"/>
            </w:rPr>
            <w:id w:val="1180248269"/>
            <w:placeholder>
              <w:docPart w:val="DefaultPlaceholder_1081868575"/>
            </w:placeholder>
            <w:dropDownList>
              <w:listItem w:displayText="Approved" w:value="Approved"/>
              <w:listItem w:displayText="Draft" w:value="Draft"/>
              <w:listItem w:displayText="Proposed" w:value="Proposed"/>
              <w:listItem w:displayText="Rejected" w:value="Rejected"/>
            </w:dropDownList>
          </w:sdtPr>
          <w:sdtContent>
            <w:tc>
              <w:tcPr>
                <w:tcW w:w="2268" w:type="dxa"/>
                <w:gridSpan w:val="5"/>
                <w:tcBorders>
                  <w:top w:val="single" w:sz="4" w:space="0" w:color="auto"/>
                  <w:left w:val="nil"/>
                  <w:bottom w:val="single" w:sz="4" w:space="0" w:color="E7E6E6" w:themeColor="background2"/>
                  <w:right w:val="nil"/>
                </w:tcBorders>
                <w:tcMar>
                  <w:top w:w="57" w:type="dxa"/>
                  <w:left w:w="57" w:type="dxa"/>
                  <w:bottom w:w="28" w:type="dxa"/>
                  <w:right w:w="0" w:type="dxa"/>
                </w:tcMar>
                <w:vAlign w:val="center"/>
              </w:tcPr>
              <w:p w:rsidR="007912C2" w:rsidRPr="00D862FC" w:rsidRDefault="007912C2" w:rsidP="00CF7945">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84246928" w:displacedByCustomXml="prev"/>
        <w:tc>
          <w:tcPr>
            <w:tcW w:w="163" w:type="dxa"/>
            <w:tcBorders>
              <w:top w:val="single" w:sz="4" w:space="0" w:color="auto"/>
              <w:left w:val="nil"/>
              <w:bottom w:val="single" w:sz="4" w:space="0" w:color="E7E6E6" w:themeColor="background2"/>
              <w:right w:val="nil"/>
            </w:tcBorders>
            <w:vAlign w:val="center"/>
          </w:tcPr>
          <w:p w:rsidR="007912C2" w:rsidRPr="00D862FC" w:rsidRDefault="007912C2" w:rsidP="00CF7945">
            <w:pPr>
              <w:keepNext/>
              <w:keepLines/>
              <w:ind w:left="113" w:right="113"/>
              <w:jc w:val="center"/>
              <w:rPr>
                <w:rFonts w:ascii="Calibri" w:hAnsi="Calibri" w:cs="Calibri"/>
                <w:i/>
                <w:color w:val="000000" w:themeColor="text1"/>
                <w:szCs w:val="20"/>
              </w:rPr>
            </w:pPr>
          </w:p>
        </w:tc>
        <w:tc>
          <w:tcPr>
            <w:tcW w:w="738" w:type="dxa"/>
            <w:gridSpan w:val="3"/>
            <w:tcBorders>
              <w:top w:val="single" w:sz="4" w:space="0" w:color="auto"/>
              <w:left w:val="nil"/>
              <w:bottom w:val="single" w:sz="4" w:space="0" w:color="E7E6E6" w:themeColor="background2"/>
              <w:right w:val="nil"/>
            </w:tcBorders>
            <w:vAlign w:val="center"/>
          </w:tcPr>
          <w:p w:rsidR="007912C2" w:rsidRPr="00D862FC" w:rsidRDefault="007912C2" w:rsidP="00CF7945">
            <w:pPr>
              <w:keepNext/>
              <w:keepLines/>
              <w:ind w:left="113" w:right="113"/>
              <w:jc w:val="center"/>
              <w:rPr>
                <w:rFonts w:ascii="Calibri" w:hAnsi="Calibri" w:cs="Calibri"/>
                <w:i/>
                <w:color w:val="000000" w:themeColor="text1"/>
                <w:szCs w:val="20"/>
              </w:rPr>
            </w:pPr>
          </w:p>
        </w:tc>
        <w:tc>
          <w:tcPr>
            <w:tcW w:w="1404" w:type="dxa"/>
            <w:gridSpan w:val="6"/>
            <w:tcBorders>
              <w:top w:val="single" w:sz="4" w:space="0" w:color="auto"/>
              <w:left w:val="nil"/>
              <w:bottom w:val="single" w:sz="4" w:space="0" w:color="E7E6E6" w:themeColor="background2"/>
              <w:right w:val="nil"/>
            </w:tcBorders>
            <w:tcMar>
              <w:top w:w="57" w:type="dxa"/>
              <w:bottom w:w="28" w:type="dxa"/>
              <w:right w:w="85" w:type="dxa"/>
            </w:tcMar>
            <w:vAlign w:val="center"/>
          </w:tcPr>
          <w:p w:rsidR="007912C2" w:rsidRPr="00D862FC" w:rsidRDefault="007912C2" w:rsidP="00CF7945">
            <w:pPr>
              <w:keepNext/>
              <w:keepLines/>
              <w:ind w:left="137"/>
              <w:jc w:val="right"/>
              <w:rPr>
                <w:rFonts w:ascii="Calibri" w:hAnsi="Calibri" w:cs="Calibri"/>
                <w:b/>
                <w:color w:val="000000" w:themeColor="text1"/>
                <w:szCs w:val="20"/>
              </w:rPr>
            </w:pPr>
          </w:p>
        </w:tc>
        <w:tc>
          <w:tcPr>
            <w:tcW w:w="367" w:type="dxa"/>
            <w:tcBorders>
              <w:top w:val="single" w:sz="4" w:space="0" w:color="auto"/>
              <w:left w:val="nil"/>
              <w:bottom w:val="single" w:sz="4" w:space="0" w:color="E7E6E6" w:themeColor="background2"/>
              <w:right w:val="nil"/>
            </w:tcBorders>
            <w:tcMar>
              <w:top w:w="57" w:type="dxa"/>
              <w:bottom w:w="28" w:type="dxa"/>
            </w:tcMar>
            <w:vAlign w:val="center"/>
          </w:tcPr>
          <w:p w:rsidR="007912C2" w:rsidRPr="00D862FC" w:rsidRDefault="007912C2" w:rsidP="00CF7945">
            <w:pPr>
              <w:keepNext/>
              <w:keepLines/>
              <w:ind w:left="113" w:right="113"/>
              <w:jc w:val="center"/>
              <w:rPr>
                <w:rFonts w:ascii="Calibri" w:hAnsi="Calibri" w:cs="Calibri"/>
                <w:i/>
                <w:color w:val="000000" w:themeColor="text1"/>
                <w:szCs w:val="20"/>
              </w:rPr>
            </w:pPr>
          </w:p>
        </w:tc>
        <w:tc>
          <w:tcPr>
            <w:tcW w:w="1299" w:type="dxa"/>
            <w:gridSpan w:val="3"/>
            <w:tcBorders>
              <w:top w:val="single" w:sz="4" w:space="0" w:color="auto"/>
              <w:left w:val="nil"/>
              <w:bottom w:val="single" w:sz="4" w:space="0" w:color="E7E6E6" w:themeColor="background2"/>
              <w:right w:val="nil"/>
            </w:tcBorders>
            <w:noWrap/>
            <w:tcMar>
              <w:top w:w="57" w:type="dxa"/>
              <w:bottom w:w="28" w:type="dxa"/>
              <w:right w:w="11" w:type="dxa"/>
            </w:tcMar>
            <w:vAlign w:val="center"/>
          </w:tcPr>
          <w:p w:rsidR="007912C2" w:rsidRPr="00D862FC" w:rsidRDefault="007912C2" w:rsidP="00CF7945">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D862FC">
              <w:rPr>
                <w:rFonts w:ascii="Calibri" w:hAnsi="Calibri" w:cs="Calibri"/>
                <w:color w:val="000000" w:themeColor="text1"/>
                <w:szCs w:val="20"/>
              </w:rPr>
              <w:t>#</w:t>
            </w:r>
          </w:p>
        </w:tc>
        <w:tc>
          <w:tcPr>
            <w:tcW w:w="423" w:type="dxa"/>
            <w:tcBorders>
              <w:top w:val="single" w:sz="4" w:space="0" w:color="auto"/>
              <w:left w:val="nil"/>
              <w:bottom w:val="single" w:sz="4" w:space="0" w:color="E7E6E6" w:themeColor="background2"/>
              <w:right w:val="nil"/>
            </w:tcBorders>
            <w:tcMar>
              <w:top w:w="57" w:type="dxa"/>
            </w:tcMar>
            <w:vAlign w:val="center"/>
          </w:tcPr>
          <w:p w:rsidR="007912C2" w:rsidRPr="00D862FC" w:rsidRDefault="007912C2" w:rsidP="00CF7945">
            <w:pPr>
              <w:keepNext/>
              <w:keepLines/>
              <w:rPr>
                <w:rFonts w:ascii="Calibri" w:hAnsi="Calibri" w:cs="Calibri"/>
                <w:szCs w:val="18"/>
              </w:rPr>
            </w:pPr>
            <w:r>
              <w:rPr>
                <w:rFonts w:ascii="Calibri" w:hAnsi="Calibri" w:cs="Calibri"/>
                <w:szCs w:val="18"/>
              </w:rPr>
              <w:t>11</w:t>
            </w:r>
          </w:p>
        </w:tc>
        <w:tc>
          <w:tcPr>
            <w:tcW w:w="70" w:type="dxa"/>
            <w:tcBorders>
              <w:top w:val="single" w:sz="4" w:space="0" w:color="auto"/>
              <w:left w:val="nil"/>
              <w:bottom w:val="nil"/>
              <w:right w:val="single" w:sz="4" w:space="0" w:color="auto"/>
            </w:tcBorders>
            <w:tcMar>
              <w:top w:w="57" w:type="dxa"/>
              <w:left w:w="0" w:type="dxa"/>
              <w:bottom w:w="28" w:type="dxa"/>
              <w:right w:w="0" w:type="dxa"/>
            </w:tcMar>
            <w:vAlign w:val="center"/>
          </w:tcPr>
          <w:p w:rsidR="007912C2" w:rsidRPr="00D862FC" w:rsidRDefault="007912C2" w:rsidP="00CF7945">
            <w:pPr>
              <w:keepNext/>
              <w:keepLines/>
              <w:rPr>
                <w:rFonts w:ascii="Calibri" w:hAnsi="Calibri" w:cs="Calibri"/>
                <w:szCs w:val="18"/>
              </w:rPr>
            </w:pPr>
          </w:p>
        </w:tc>
      </w:tr>
      <w:tr w:rsidR="007912C2" w:rsidRPr="00D862FC" w:rsidTr="0098446A">
        <w:trPr>
          <w:trHeight w:val="454"/>
          <w:jc w:val="center"/>
        </w:trPr>
        <w:tc>
          <w:tcPr>
            <w:tcW w:w="70" w:type="dxa"/>
            <w:tcBorders>
              <w:top w:val="nil"/>
              <w:bottom w:val="nil"/>
              <w:right w:val="nil"/>
            </w:tcBorders>
            <w:tcMar>
              <w:left w:w="0" w:type="dxa"/>
              <w:right w:w="0" w:type="dxa"/>
            </w:tcMar>
          </w:tcPr>
          <w:p w:rsidR="007912C2" w:rsidRPr="00D862FC" w:rsidRDefault="007912C2" w:rsidP="00725F95">
            <w:pPr>
              <w:keepLines/>
              <w:rPr>
                <w:rFonts w:ascii="Calibri" w:hAnsi="Calibri" w:cs="Calibri"/>
                <w:b/>
                <w:szCs w:val="26"/>
              </w:rPr>
            </w:pPr>
          </w:p>
        </w:tc>
        <w:tc>
          <w:tcPr>
            <w:tcW w:w="10703" w:type="dxa"/>
            <w:gridSpan w:val="31"/>
            <w:tcBorders>
              <w:top w:val="single" w:sz="4" w:space="0" w:color="E7E6E6" w:themeColor="background2"/>
              <w:left w:val="nil"/>
              <w:bottom w:val="nil"/>
              <w:right w:val="nil"/>
            </w:tcBorders>
            <w:tcMar>
              <w:top w:w="57" w:type="dxa"/>
            </w:tcMar>
            <w:vAlign w:val="center"/>
          </w:tcPr>
          <w:p w:rsidR="007912C2" w:rsidRPr="00D862FC" w:rsidRDefault="007912C2" w:rsidP="00725F95">
            <w:pPr>
              <w:keepLines/>
              <w:jc w:val="center"/>
              <w:rPr>
                <w:rFonts w:ascii="Calibri" w:hAnsi="Calibri" w:cs="Calibri"/>
                <w:b/>
                <w:sz w:val="26"/>
                <w:szCs w:val="26"/>
              </w:rPr>
            </w:pPr>
            <w:permStart w:id="1146060639" w:edGrp="everyone"/>
            <w:r>
              <w:rPr>
                <w:rFonts w:ascii="Calibri" w:hAnsi="Calibri" w:cs="Calibri"/>
                <w:b/>
                <w:sz w:val="26"/>
                <w:szCs w:val="26"/>
              </w:rPr>
              <w:t>Gestione indennità d'impiego operativo</w:t>
            </w:r>
            <w:permEnd w:id="1146060639"/>
          </w:p>
        </w:tc>
        <w:tc>
          <w:tcPr>
            <w:tcW w:w="70" w:type="dxa"/>
            <w:tcBorders>
              <w:top w:val="nil"/>
              <w:left w:val="nil"/>
              <w:bottom w:val="nil"/>
              <w:right w:val="single" w:sz="4" w:space="0" w:color="auto"/>
            </w:tcBorders>
            <w:tcMar>
              <w:left w:w="0" w:type="dxa"/>
              <w:right w:w="0" w:type="dxa"/>
            </w:tcMar>
          </w:tcPr>
          <w:p w:rsidR="007912C2" w:rsidRPr="00D862FC" w:rsidRDefault="007912C2" w:rsidP="00725F95">
            <w:pPr>
              <w:keepLines/>
              <w:rPr>
                <w:rFonts w:ascii="Calibri" w:hAnsi="Calibri" w:cs="Calibri"/>
                <w:b/>
                <w:szCs w:val="26"/>
              </w:rPr>
            </w:pPr>
          </w:p>
        </w:tc>
      </w:tr>
      <w:tr w:rsidR="007912C2" w:rsidRPr="00D862FC" w:rsidTr="0098446A">
        <w:trPr>
          <w:trHeight w:hRule="exact" w:val="255"/>
          <w:jc w:val="center"/>
        </w:trPr>
        <w:tc>
          <w:tcPr>
            <w:tcW w:w="70" w:type="dxa"/>
            <w:tcBorders>
              <w:top w:val="nil"/>
              <w:bottom w:val="nil"/>
              <w:right w:val="nil"/>
            </w:tcBorders>
            <w:noWrap/>
            <w:tcMar>
              <w:top w:w="17" w:type="dxa"/>
              <w:left w:w="0" w:type="dxa"/>
              <w:bottom w:w="17" w:type="dxa"/>
              <w:right w:w="0" w:type="dxa"/>
            </w:tcMar>
            <w:vAlign w:val="bottom"/>
          </w:tcPr>
          <w:p w:rsidR="007912C2" w:rsidRPr="00A3613B" w:rsidRDefault="007912C2" w:rsidP="0059092F">
            <w:pPr>
              <w:keepLines/>
              <w:rPr>
                <w:b/>
                <w:i/>
                <w:sz w:val="18"/>
                <w:szCs w:val="18"/>
              </w:rPr>
            </w:pPr>
          </w:p>
        </w:tc>
        <w:tc>
          <w:tcPr>
            <w:tcW w:w="10703" w:type="dxa"/>
            <w:gridSpan w:val="31"/>
            <w:tcBorders>
              <w:top w:val="nil"/>
              <w:left w:val="nil"/>
              <w:bottom w:val="single" w:sz="4" w:space="0" w:color="auto"/>
              <w:right w:val="nil"/>
            </w:tcBorders>
            <w:noWrap/>
            <w:tcMar>
              <w:top w:w="17" w:type="dxa"/>
              <w:left w:w="85" w:type="dxa"/>
              <w:bottom w:w="17" w:type="dxa"/>
              <w:right w:w="57" w:type="dxa"/>
            </w:tcMar>
            <w:vAlign w:val="bottom"/>
          </w:tcPr>
          <w:p w:rsidR="007912C2" w:rsidRPr="00D862FC" w:rsidRDefault="007912C2" w:rsidP="0059092F">
            <w:pPr>
              <w:keepLines/>
              <w:rPr>
                <w:rFonts w:ascii="Calibri" w:hAnsi="Calibri" w:cs="Calibri"/>
                <w:szCs w:val="18"/>
              </w:rPr>
            </w:pPr>
            <w:r w:rsidRPr="00A3613B">
              <w:rPr>
                <w:b/>
                <w:i/>
                <w:sz w:val="18"/>
                <w:szCs w:val="18"/>
              </w:rPr>
              <w:t>Description</w:t>
            </w:r>
          </w:p>
        </w:tc>
        <w:tc>
          <w:tcPr>
            <w:tcW w:w="70" w:type="dxa"/>
            <w:tcBorders>
              <w:top w:val="nil"/>
              <w:left w:val="nil"/>
              <w:bottom w:val="nil"/>
              <w:right w:val="single" w:sz="4" w:space="0" w:color="auto"/>
            </w:tcBorders>
            <w:noWrap/>
            <w:tcMar>
              <w:top w:w="17" w:type="dxa"/>
              <w:left w:w="0" w:type="dxa"/>
              <w:bottom w:w="17" w:type="dxa"/>
              <w:right w:w="0" w:type="dxa"/>
            </w:tcMar>
            <w:vAlign w:val="bottom"/>
          </w:tcPr>
          <w:p w:rsidR="007912C2" w:rsidRPr="00D862FC" w:rsidRDefault="007912C2" w:rsidP="0059092F">
            <w:pPr>
              <w:keepLines/>
              <w:rPr>
                <w:rFonts w:ascii="Calibri" w:hAnsi="Calibri" w:cs="Calibri"/>
                <w:szCs w:val="18"/>
              </w:rPr>
            </w:pPr>
          </w:p>
        </w:tc>
      </w:tr>
      <w:tr w:rsidR="007912C2" w:rsidRPr="00D862FC" w:rsidTr="0098446A">
        <w:trPr>
          <w:trHeight w:val="57"/>
          <w:jc w:val="center"/>
        </w:trPr>
        <w:tc>
          <w:tcPr>
            <w:tcW w:w="70" w:type="dxa"/>
            <w:tcBorders>
              <w:top w:val="nil"/>
              <w:bottom w:val="nil"/>
              <w:right w:val="nil"/>
            </w:tcBorders>
            <w:tcMar>
              <w:top w:w="28" w:type="dxa"/>
              <w:left w:w="0" w:type="dxa"/>
              <w:bottom w:w="28" w:type="dxa"/>
              <w:right w:w="0" w:type="dxa"/>
            </w:tcMar>
            <w:vAlign w:val="center"/>
          </w:tcPr>
          <w:p w:rsidR="007912C2" w:rsidRPr="00D862FC" w:rsidRDefault="007912C2" w:rsidP="0059092F">
            <w:pPr>
              <w:keepLines/>
              <w:rPr>
                <w:rFonts w:ascii="Calibri" w:hAnsi="Calibri" w:cs="Calibri"/>
              </w:rPr>
            </w:pPr>
          </w:p>
        </w:tc>
        <w:tc>
          <w:tcPr>
            <w:tcW w:w="10703" w:type="dxa"/>
            <w:gridSpan w:val="31"/>
            <w:tcBorders>
              <w:top w:val="single" w:sz="4" w:space="0" w:color="auto"/>
              <w:left w:val="nil"/>
              <w:bottom w:val="nil"/>
              <w:right w:val="nil"/>
            </w:tcBorders>
            <w:tcMar>
              <w:top w:w="28" w:type="dxa"/>
              <w:left w:w="85" w:type="dxa"/>
              <w:bottom w:w="0" w:type="dxa"/>
              <w:right w:w="85" w:type="dxa"/>
            </w:tcMar>
            <w:vAlign w:val="center"/>
          </w:tcPr>
          <w:p w:rsidR="007912C2" w:rsidRPr="007912C2" w:rsidRDefault="007912C2" w:rsidP="007912C2">
            <w:pPr>
              <w:pStyle w:val="Titolo2"/>
              <w:spacing w:before="40" w:beforeAutospacing="0" w:after="120" w:afterAutospacing="0"/>
              <w:ind w:left="426" w:hanging="426"/>
              <w:rPr>
                <w:lang w:val="it-IT"/>
              </w:rPr>
            </w:pPr>
            <w:bookmarkStart w:id="1" w:name="_Toc4422777"/>
            <w:bookmarkStart w:id="2" w:name="_Toc536108176"/>
            <w:bookmarkStart w:id="3" w:name="_Toc536004194"/>
            <w:bookmarkEnd w:id="1"/>
            <w:bookmarkEnd w:id="2"/>
            <w:permStart w:id="1346261295" w:edGrp="everyone"/>
            <w:r w:rsidRPr="007912C2">
              <w:rPr>
                <w:lang w:val="it-IT"/>
              </w:rPr>
              <w:t>Progetto CUSI-NoiPA: gestione indennità operative</w:t>
            </w:r>
            <w:bookmarkEnd w:id="3"/>
          </w:p>
          <w:p w:rsidR="007912C2" w:rsidRPr="007912C2" w:rsidRDefault="007912C2" w:rsidP="007912C2">
            <w:pPr>
              <w:spacing w:before="100" w:beforeAutospacing="1" w:after="100" w:afterAutospacing="1"/>
              <w:jc w:val="both"/>
              <w:rPr>
                <w:lang w:val="it-IT"/>
              </w:rPr>
            </w:pPr>
            <w:r w:rsidRPr="007912C2">
              <w:rPr>
                <w:lang w:val="it-IT"/>
              </w:rPr>
              <w:t xml:space="preserve">La Difesa e il MEF – NoiPA, nell’ambito del più ampio progetto per la realizzazione di un portale condiviso dedicato alla gestione completamente informatizzata delle procedure stipendiali, hanno deciso di intraprendere la sperimentazione di una soluzione tecnologica che consenta la completa automazione del calcolo delle indennità operative all’interno della piattaforma NoiPA, sulla base delle informazioni giuridiche del personale militare utili per determinare e attribuire il trattamento economico dovuto. </w:t>
            </w:r>
          </w:p>
          <w:p w:rsidR="007912C2" w:rsidRPr="007912C2" w:rsidRDefault="007912C2" w:rsidP="007912C2">
            <w:pPr>
              <w:spacing w:before="100" w:beforeAutospacing="1" w:after="100" w:afterAutospacing="1"/>
              <w:jc w:val="both"/>
              <w:rPr>
                <w:lang w:val="it-IT"/>
              </w:rPr>
            </w:pPr>
            <w:r w:rsidRPr="007912C2">
              <w:rPr>
                <w:lang w:val="it-IT"/>
              </w:rPr>
              <w:t>L’obiettivo è contrarre i tempi di elaborazione, razionalizzare la gestione, azzerare gli errori con l’eliminazione di passaggi intermedi ed infine superare l’attuale procedura che prevede il calcolo delle indennità da parte del sistema stipendiale della Difesa CUSI-BDUS ed il successivo invio tramite flussi assegni al sistema NoiPA.</w:t>
            </w:r>
          </w:p>
          <w:p w:rsidR="007912C2" w:rsidRPr="007912C2" w:rsidRDefault="007912C2" w:rsidP="007912C2">
            <w:pPr>
              <w:pStyle w:val="Titolo2"/>
              <w:spacing w:before="40" w:beforeAutospacing="0" w:after="120" w:afterAutospacing="0"/>
              <w:ind w:left="426" w:hanging="426"/>
              <w:rPr>
                <w:lang w:val="it-IT"/>
              </w:rPr>
            </w:pPr>
            <w:bookmarkStart w:id="4" w:name="_Toc4422778"/>
            <w:r w:rsidRPr="007912C2">
              <w:rPr>
                <w:lang w:val="it-IT"/>
              </w:rPr>
              <w:t>1 Indennità di impiego operativo: introduzione</w:t>
            </w:r>
            <w:bookmarkEnd w:id="4"/>
          </w:p>
          <w:p w:rsidR="007912C2" w:rsidRPr="007912C2" w:rsidRDefault="007912C2" w:rsidP="007912C2">
            <w:pPr>
              <w:spacing w:before="100" w:beforeAutospacing="1" w:after="100" w:afterAutospacing="1"/>
              <w:jc w:val="both"/>
              <w:rPr>
                <w:lang w:val="it-IT"/>
              </w:rPr>
            </w:pPr>
            <w:r w:rsidRPr="007912C2">
              <w:rPr>
                <w:lang w:val="it-IT"/>
              </w:rPr>
              <w:t xml:space="preserve">Il personale militare della Difesa è destinatario di uno specifico trattamento economico che tiene conto del rischio, dei disagi, e delle responsabilità connesse alle diverse situazioni d’impiego derivante dal servizio operativo. Tale trattamento è attribuito attraverso le </w:t>
            </w:r>
            <w:r w:rsidRPr="007912C2">
              <w:rPr>
                <w:b/>
                <w:bCs/>
                <w:lang w:val="it-IT"/>
              </w:rPr>
              <w:t>indennità d’impiego operativo</w:t>
            </w:r>
            <w:r w:rsidRPr="007912C2">
              <w:rPr>
                <w:lang w:val="it-IT"/>
              </w:rPr>
              <w:t>.</w:t>
            </w:r>
          </w:p>
          <w:p w:rsidR="007912C2" w:rsidRPr="007912C2" w:rsidRDefault="007912C2" w:rsidP="007912C2">
            <w:pPr>
              <w:spacing w:before="100" w:beforeAutospacing="1" w:after="100" w:afterAutospacing="1"/>
              <w:jc w:val="both"/>
              <w:rPr>
                <w:lang w:val="it-IT"/>
              </w:rPr>
            </w:pPr>
            <w:r w:rsidRPr="007912C2">
              <w:rPr>
                <w:lang w:val="it-IT"/>
              </w:rPr>
              <w:t>Le indennità d’impiego operativo sono classificate in “fondamentali”, “supplementari” e altre.</w:t>
            </w:r>
          </w:p>
          <w:p w:rsidR="007912C2" w:rsidRPr="007912C2" w:rsidRDefault="007912C2" w:rsidP="007912C2">
            <w:pPr>
              <w:spacing w:before="100" w:beforeAutospacing="1" w:after="100" w:afterAutospacing="1"/>
              <w:jc w:val="both"/>
              <w:rPr>
                <w:lang w:val="it-IT"/>
              </w:rPr>
            </w:pPr>
            <w:r w:rsidRPr="007912C2">
              <w:rPr>
                <w:lang w:val="it-IT"/>
              </w:rPr>
              <w:t xml:space="preserve">Le prime costituiscono un elemento della retribuzione a carattere “continuativo” che, pur differenziandosi dalla componente cosiddetta “fissa”, remunerano la normale prestazione lavorativa (stipendio, RIA, IIS, ecc.). </w:t>
            </w:r>
          </w:p>
          <w:p w:rsidR="007912C2" w:rsidRPr="007912C2" w:rsidRDefault="007912C2" w:rsidP="007912C2">
            <w:pPr>
              <w:spacing w:before="100" w:beforeAutospacing="1" w:after="100" w:afterAutospacing="1"/>
              <w:jc w:val="both"/>
              <w:rPr>
                <w:lang w:val="it-IT"/>
              </w:rPr>
            </w:pPr>
            <w:r w:rsidRPr="007912C2">
              <w:rPr>
                <w:lang w:val="it-IT"/>
              </w:rPr>
              <w:t>Le seconde vengono corrisposte in aggiunta alle indennità fondamentali in quanto connesse al possesso di specifici requisiti professionali o allo svolgimento di particolari incarichi in specifiche condizioni d’impiego.</w:t>
            </w:r>
          </w:p>
          <w:p w:rsidR="007912C2" w:rsidRPr="007912C2" w:rsidRDefault="007912C2" w:rsidP="007912C2">
            <w:pPr>
              <w:spacing w:before="100" w:beforeAutospacing="1" w:after="100" w:afterAutospacing="1"/>
              <w:jc w:val="both"/>
              <w:rPr>
                <w:lang w:val="it-IT"/>
              </w:rPr>
            </w:pPr>
            <w:r w:rsidRPr="007912C2">
              <w:rPr>
                <w:lang w:val="it-IT"/>
              </w:rPr>
              <w:t xml:space="preserve">Per entrambe le tipologie di indennità, la misura mensile è una maggiorazione percentuale </w:t>
            </w:r>
            <w:r w:rsidRPr="007912C2">
              <w:rPr>
                <w:b/>
                <w:bCs/>
                <w:lang w:val="it-IT"/>
              </w:rPr>
              <w:t>dell’indennità d’impiego operativo di base</w:t>
            </w:r>
            <w:r w:rsidRPr="007912C2">
              <w:rPr>
                <w:lang w:val="it-IT"/>
              </w:rPr>
              <w:t>,</w:t>
            </w:r>
            <w:r w:rsidRPr="007912C2">
              <w:rPr>
                <w:b/>
                <w:bCs/>
                <w:lang w:val="it-IT"/>
              </w:rPr>
              <w:t xml:space="preserve"> </w:t>
            </w:r>
            <w:r w:rsidRPr="007912C2">
              <w:rPr>
                <w:lang w:val="it-IT"/>
              </w:rPr>
              <w:t>che pertanto costituisce il parametro di riferimento cui rapportare tutte le indennità operative fondamentali e supplementari, salvo alcune eccezioni riportate al successivo para 1.2.</w:t>
            </w:r>
          </w:p>
          <w:p w:rsidR="007912C2" w:rsidRPr="007912C2" w:rsidRDefault="007912C2" w:rsidP="007912C2">
            <w:pPr>
              <w:spacing w:before="100" w:beforeAutospacing="1" w:after="100" w:afterAutospacing="1"/>
              <w:jc w:val="both"/>
              <w:rPr>
                <w:lang w:val="it-IT"/>
              </w:rPr>
            </w:pPr>
            <w:r w:rsidRPr="007912C2">
              <w:rPr>
                <w:lang w:val="it-IT"/>
              </w:rPr>
              <w:t xml:space="preserve">Negli allegati “A” e “B” si riportano, rispettivamente, le attuali misure dell’indennità operativa di base e l’elenco completo delle indennità operative fondamentali e supplementari, con l’indicazione delle rispettive misure percentuali di rapporto rispetto all’operativa di base o, per alcune di esse, degli importi fissi stabiliti dalla legge nonché il regime di tassazione fiscale/previdenziale cui sono sottoposte </w:t>
            </w:r>
          </w:p>
          <w:p w:rsidR="007912C2" w:rsidRPr="007912C2" w:rsidRDefault="007912C2" w:rsidP="007912C2">
            <w:pPr>
              <w:spacing w:before="100" w:beforeAutospacing="1" w:line="276" w:lineRule="auto"/>
              <w:jc w:val="both"/>
              <w:rPr>
                <w:lang w:val="it-IT"/>
              </w:rPr>
            </w:pPr>
            <w:r w:rsidRPr="007912C2">
              <w:rPr>
                <w:lang w:val="it-IT"/>
              </w:rPr>
              <w:t>Le misure giornaliere delle indennità operative, nei casi in cui occorra determinarle (vedasi esempi in allegato “C”), sono pari ad un trentesimo di quelle mensili, indipendentemente dal numero dei giorni del mese di riferimento (in altre parole, si considera il mese commerciale).</w:t>
            </w:r>
          </w:p>
          <w:p w:rsidR="007912C2" w:rsidRPr="007912C2" w:rsidRDefault="007912C2" w:rsidP="007912C2">
            <w:pPr>
              <w:spacing w:before="100" w:beforeAutospacing="1" w:after="100" w:afterAutospacing="1"/>
              <w:jc w:val="both"/>
              <w:rPr>
                <w:lang w:val="it-IT"/>
              </w:rPr>
            </w:pPr>
            <w:r w:rsidRPr="007912C2">
              <w:rPr>
                <w:lang w:val="it-IT"/>
              </w:rPr>
              <w:lastRenderedPageBreak/>
              <w:t> </w:t>
            </w:r>
          </w:p>
          <w:p w:rsidR="007912C2" w:rsidRPr="007912C2" w:rsidRDefault="007912C2" w:rsidP="007912C2">
            <w:pPr>
              <w:pStyle w:val="Titolo2"/>
              <w:spacing w:before="40" w:beforeAutospacing="0" w:after="120" w:afterAutospacing="0"/>
              <w:ind w:left="426" w:hanging="426"/>
              <w:rPr>
                <w:lang w:val="it-IT"/>
              </w:rPr>
            </w:pPr>
            <w:bookmarkStart w:id="5" w:name="_Toc4422779"/>
            <w:r w:rsidRPr="007912C2">
              <w:rPr>
                <w:lang w:val="it-IT"/>
              </w:rPr>
              <w:t>1.1 Indennità operativa di base</w:t>
            </w:r>
            <w:bookmarkEnd w:id="5"/>
          </w:p>
          <w:p w:rsidR="007912C2" w:rsidRPr="007912C2" w:rsidRDefault="007912C2" w:rsidP="007912C2">
            <w:pPr>
              <w:spacing w:before="100" w:beforeAutospacing="1" w:line="276" w:lineRule="auto"/>
              <w:jc w:val="both"/>
              <w:rPr>
                <w:lang w:val="it-IT"/>
              </w:rPr>
            </w:pPr>
            <w:r w:rsidRPr="007912C2">
              <w:rPr>
                <w:lang w:val="it-IT"/>
              </w:rPr>
              <w:t>L’indennità di impiego operativa di base compete al personale militare di ogni categoria e grado (Ufficiali, Sottufficiali, Graduati e Volontari di Truppa, a ferma speciale o raffermati, Allievi di Accademie e Scuole), sempreché non sia destinatario di altra operativa di natura fondamentale corrisposta in relazione a specifiche e particolari situazioni di impiego maggiormente disagiate e rischiose.</w:t>
            </w:r>
          </w:p>
          <w:p w:rsidR="007912C2" w:rsidRPr="007912C2" w:rsidRDefault="007912C2" w:rsidP="007912C2">
            <w:pPr>
              <w:spacing w:before="100" w:beforeAutospacing="1" w:line="276" w:lineRule="auto"/>
              <w:jc w:val="both"/>
              <w:rPr>
                <w:lang w:val="it-IT"/>
              </w:rPr>
            </w:pPr>
            <w:r w:rsidRPr="007912C2">
              <w:rPr>
                <w:lang w:val="it-IT"/>
              </w:rPr>
              <w:t>Gli importi dell’operativa di base sono “</w:t>
            </w:r>
            <w:r w:rsidRPr="007912C2">
              <w:rPr>
                <w:i/>
                <w:iCs/>
                <w:lang w:val="it-IT"/>
              </w:rPr>
              <w:t xml:space="preserve">verticalizzati” (DPR 394/1995) </w:t>
            </w:r>
            <w:r w:rsidRPr="007912C2">
              <w:rPr>
                <w:lang w:val="it-IT"/>
              </w:rPr>
              <w:t>ovvero attribuiti per fasce in relazione al grado e, per alcuni gradi, all’anzianità di servizio (complessivamente prestato o dal conseguimento della nomina ad Ufficiale o della qualifica ad Aspirante).</w:t>
            </w:r>
          </w:p>
          <w:p w:rsidR="007912C2" w:rsidRPr="007912C2" w:rsidRDefault="007912C2" w:rsidP="007912C2">
            <w:pPr>
              <w:spacing w:before="100" w:beforeAutospacing="1" w:line="276" w:lineRule="auto"/>
              <w:jc w:val="both"/>
              <w:rPr>
                <w:lang w:val="it-IT"/>
              </w:rPr>
            </w:pPr>
            <w:r w:rsidRPr="007912C2">
              <w:rPr>
                <w:lang w:val="it-IT"/>
              </w:rPr>
              <w:t>Quindi, elementi essenziali per la determinazione dell’indennità operativa di base sono:</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il grado, che subisce variazioni nel tempo con gli avanzamenti di carriera;</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l’anzianità di servizio comunque prestato (servizio permanente, periodo di leva, ferma/rafferma, etc.) con esclusione dei periodi di sospensione dal servizio che non concorrono alla determinazione dell’anzianità di servizio (es. aspettativa per motivi privati, sospensione disciplinare dall’impiego). Inoltre, per quegli ufficiali la cui partecipazione a pubblico concorso sia subordinata al possesso della laurea, sono considerati “</w:t>
            </w:r>
            <w:r w:rsidRPr="007912C2">
              <w:rPr>
                <w:b/>
                <w:bCs/>
                <w:lang w:val="it-IT"/>
              </w:rPr>
              <w:t>utili”</w:t>
            </w:r>
            <w:r w:rsidRPr="007912C2">
              <w:rPr>
                <w:lang w:val="it-IT"/>
              </w:rPr>
              <w:t xml:space="preserve"> anche gli anni corrispondenti alla durata dei corsi legali di studio per il conseguimento del predetto titolo (n.b. i periodi inclusi nel corso di laurea nei quali è stato prestato servizio, sono computati una sola volta – vds. esempi in </w:t>
            </w:r>
            <w:r w:rsidRPr="007912C2">
              <w:rPr>
                <w:b/>
                <w:bCs/>
                <w:u w:val="single"/>
                <w:lang w:val="it-IT"/>
              </w:rPr>
              <w:t>allegato D</w:t>
            </w:r>
            <w:r w:rsidRPr="007912C2">
              <w:rPr>
                <w:lang w:val="it-IT"/>
              </w:rPr>
              <w:t xml:space="preserve">); </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la data di nomina ad ufficiale o aspirante (importante solo per gli ufficiali).</w:t>
            </w:r>
          </w:p>
          <w:p w:rsidR="007912C2" w:rsidRPr="007912C2" w:rsidRDefault="007912C2" w:rsidP="007912C2">
            <w:pPr>
              <w:spacing w:line="276" w:lineRule="auto"/>
              <w:ind w:left="1"/>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 xml:space="preserve">I volontari in ferma prefissata (VFP1 E VFP4) hanno diritto a percepire </w:t>
            </w:r>
            <w:r w:rsidRPr="007912C2">
              <w:rPr>
                <w:b/>
                <w:bCs/>
                <w:lang w:val="it-IT"/>
              </w:rPr>
              <w:t>l’indennità di impiego operativo</w:t>
            </w:r>
            <w:r w:rsidRPr="007912C2">
              <w:rPr>
                <w:lang w:val="it-IT"/>
              </w:rPr>
              <w:t xml:space="preserve"> nelle misure mensili (e successive rivalutazioni) previste dalla legge n. 78/1983.</w:t>
            </w:r>
          </w:p>
          <w:p w:rsidR="007912C2" w:rsidRPr="007912C2" w:rsidRDefault="007912C2" w:rsidP="007912C2">
            <w:pPr>
              <w:spacing w:before="100" w:beforeAutospacing="1" w:line="276" w:lineRule="auto"/>
              <w:jc w:val="both"/>
              <w:rPr>
                <w:lang w:val="it-IT"/>
              </w:rPr>
            </w:pPr>
            <w:r w:rsidRPr="007912C2">
              <w:rPr>
                <w:lang w:val="it-IT"/>
              </w:rPr>
              <w:t xml:space="preserve">A decorrere dal 2010 anche ai VFP-4 </w:t>
            </w:r>
            <w:r w:rsidRPr="007912C2">
              <w:rPr>
                <w:u w:val="single"/>
                <w:lang w:val="it-IT"/>
              </w:rPr>
              <w:t>in rafferma biennale</w:t>
            </w:r>
            <w:r w:rsidRPr="007912C2">
              <w:rPr>
                <w:lang w:val="it-IT"/>
              </w:rPr>
              <w:t xml:space="preserve"> è attribuita l’indennità di impiego operativo fondamentale</w:t>
            </w:r>
            <w:bookmarkStart w:id="6" w:name="_msoanchor_1"/>
            <w:r w:rsidRPr="007912C2">
              <w:rPr>
                <w:rStyle w:val="Rimandocommento"/>
                <w:sz w:val="16"/>
                <w:szCs w:val="16"/>
                <w:lang w:val="it-IT"/>
              </w:rPr>
              <w:t>[STCS-S1]</w:t>
            </w:r>
            <w:bookmarkEnd w:id="6"/>
            <w:r w:rsidRPr="007912C2">
              <w:rPr>
                <w:rStyle w:val="Rimandocommento"/>
                <w:sz w:val="16"/>
                <w:szCs w:val="16"/>
                <w:lang w:val="it-IT"/>
              </w:rPr>
              <w:t> </w:t>
            </w:r>
            <w:r w:rsidRPr="007912C2">
              <w:rPr>
                <w:lang w:val="it-IT"/>
              </w:rPr>
              <w:t xml:space="preserve"> nelle stesse misure spettanti al 1° Caporal Maggiore (art. 15 comma 2 della legge n. 226/2004). </w:t>
            </w:r>
          </w:p>
          <w:p w:rsidR="007912C2" w:rsidRPr="007912C2" w:rsidRDefault="007912C2" w:rsidP="007912C2">
            <w:pPr>
              <w:pStyle w:val="NormaleWeb"/>
              <w:rPr>
                <w:lang w:val="it-IT"/>
              </w:rPr>
            </w:pPr>
            <w:r w:rsidRPr="007912C2">
              <w:rPr>
                <w:lang w:val="it-IT"/>
              </w:rPr>
              <w:t>Dal punto divista del trattamento economico:</w:t>
            </w:r>
          </w:p>
          <w:p w:rsidR="007912C2" w:rsidRPr="007912C2" w:rsidRDefault="007912C2" w:rsidP="007912C2">
            <w:pPr>
              <w:pStyle w:val="NormaleWeb"/>
              <w:rPr>
                <w:lang w:val="it-IT"/>
              </w:rPr>
            </w:pPr>
            <w:r w:rsidRPr="007912C2">
              <w:rPr>
                <w:lang w:val="it-IT"/>
              </w:rPr>
              <w:t>·         al VFP1 (anche raffermato) e al VFP4 (prima delle due rafferme biennali) è attribuita un’indennità d’impiego operativa in misura fissa;</w:t>
            </w:r>
          </w:p>
          <w:p w:rsidR="007912C2" w:rsidRPr="007912C2" w:rsidRDefault="007912C2" w:rsidP="007912C2">
            <w:pPr>
              <w:pStyle w:val="NormaleWeb"/>
              <w:rPr>
                <w:lang w:val="it-IT"/>
              </w:rPr>
            </w:pPr>
            <w:r w:rsidRPr="007912C2">
              <w:rPr>
                <w:lang w:val="it-IT"/>
              </w:rPr>
              <w:t>·         al VFP4 Primo Caporal Maggiore/ Sottocapo di 3^ classe/ Aviere Capo, all’atto della prima delle due rafferme, è attribuita la misura dell’indennità di impiego operativo spettante al grado iniziale dei volontari in servizio permanente (art. 1791 del D.lvo 15 marzo 2010, n. 66).</w:t>
            </w:r>
          </w:p>
          <w:p w:rsidR="007912C2" w:rsidRPr="007912C2" w:rsidRDefault="007912C2" w:rsidP="007912C2">
            <w:pPr>
              <w:rPr>
                <w:lang w:val="it-IT"/>
              </w:rPr>
            </w:pPr>
            <w:r w:rsidRPr="007912C2">
              <w:rPr>
                <w:lang w:val="it-IT"/>
              </w:rPr>
              <w:t xml:space="preserve">  </w:t>
            </w:r>
          </w:p>
          <w:p w:rsidR="007912C2" w:rsidRPr="007912C2" w:rsidRDefault="007912C2" w:rsidP="007912C2">
            <w:pPr>
              <w:spacing w:before="100" w:beforeAutospacing="1" w:line="276" w:lineRule="auto"/>
              <w:jc w:val="both"/>
              <w:rPr>
                <w:lang w:val="it-IT"/>
              </w:rPr>
            </w:pPr>
          </w:p>
          <w:p w:rsidR="007912C2" w:rsidRPr="007912C2" w:rsidRDefault="007912C2" w:rsidP="007912C2">
            <w:pPr>
              <w:spacing w:before="100" w:beforeAutospacing="1" w:line="276" w:lineRule="auto"/>
              <w:jc w:val="both"/>
              <w:rPr>
                <w:lang w:val="it-IT"/>
              </w:rPr>
            </w:pPr>
            <w:r w:rsidRPr="007912C2">
              <w:rPr>
                <w:lang w:val="it-IT"/>
              </w:rPr>
              <w:lastRenderedPageBreak/>
              <w:t>Si evidenzia che gli importi spettanti al personale militare dirigente - da Maggiore a Generale – sono soggetti all’adeguamento annuale ISTAT di cui all’art. 24, commi 1 e 2, L. 448/1998.</w:t>
            </w:r>
          </w:p>
          <w:p w:rsidR="007912C2" w:rsidRPr="007912C2" w:rsidRDefault="007912C2" w:rsidP="007912C2">
            <w:pPr>
              <w:spacing w:before="100" w:beforeAutospacing="1" w:line="276" w:lineRule="auto"/>
              <w:jc w:val="both"/>
              <w:rPr>
                <w:lang w:val="it-IT"/>
              </w:rPr>
            </w:pPr>
          </w:p>
          <w:p w:rsidR="007912C2" w:rsidRPr="007912C2" w:rsidRDefault="007912C2" w:rsidP="007912C2">
            <w:pPr>
              <w:spacing w:before="100" w:beforeAutospacing="1" w:line="276" w:lineRule="auto"/>
              <w:jc w:val="both"/>
              <w:rPr>
                <w:lang w:val="it-IT"/>
              </w:rPr>
            </w:pPr>
          </w:p>
          <w:p w:rsidR="007912C2" w:rsidRPr="007912C2" w:rsidRDefault="007912C2" w:rsidP="007912C2">
            <w:pPr>
              <w:spacing w:before="100" w:beforeAutospacing="1" w:after="120"/>
              <w:jc w:val="both"/>
              <w:rPr>
                <w:lang w:val="it-IT"/>
              </w:rPr>
            </w:pPr>
            <w:r w:rsidRPr="007912C2">
              <w:rPr>
                <w:lang w:val="it-IT"/>
              </w:rPr>
              <w:t>Le anzianità di servizio sono utili ad inquadrare il personale nella pertinente fascia economica per l’attribuzione dell’indennità di impiego operativo di base.</w:t>
            </w:r>
          </w:p>
          <w:p w:rsidR="007912C2" w:rsidRPr="007912C2" w:rsidRDefault="007912C2" w:rsidP="007912C2">
            <w:pPr>
              <w:spacing w:before="100" w:beforeAutospacing="1"/>
              <w:jc w:val="both"/>
              <w:rPr>
                <w:lang w:val="it-IT"/>
              </w:rPr>
            </w:pPr>
            <w:r w:rsidRPr="007912C2">
              <w:rPr>
                <w:lang w:val="it-IT"/>
              </w:rPr>
              <w:t xml:space="preserve">Nella </w:t>
            </w:r>
            <w:r w:rsidRPr="007912C2">
              <w:rPr>
                <w:u w:val="single"/>
                <w:lang w:val="it-IT"/>
              </w:rPr>
              <w:t>tabella 5</w:t>
            </w:r>
            <w:r w:rsidRPr="007912C2">
              <w:rPr>
                <w:lang w:val="it-IT"/>
              </w:rPr>
              <w:t xml:space="preserve"> si riporta, a titolo esemplificativo, il calcolo delle anzianità (di servizio comunque prestato e da Ufficiale) alla data del 03/04/2019 di un Ufficiale:</w:t>
            </w:r>
          </w:p>
          <w:p w:rsidR="007912C2" w:rsidRPr="007912C2" w:rsidRDefault="007912C2" w:rsidP="007912C2">
            <w:pPr>
              <w:pStyle w:val="Paragrafoelenco"/>
              <w:spacing w:before="0" w:beforeAutospacing="0" w:after="0" w:afterAutospacing="0"/>
              <w:ind w:left="1134" w:hanging="360"/>
              <w:jc w:val="both"/>
              <w:rPr>
                <w:lang w:val="it-IT"/>
              </w:rPr>
            </w:pPr>
            <w:r w:rsidRPr="007912C2">
              <w:rPr>
                <w:lang w:val="it-IT"/>
              </w:rPr>
              <w:t>-</w:t>
            </w:r>
            <w:r w:rsidRPr="007912C2">
              <w:rPr>
                <w:sz w:val="14"/>
                <w:szCs w:val="14"/>
                <w:lang w:val="it-IT"/>
              </w:rPr>
              <w:t xml:space="preserve">          </w:t>
            </w:r>
            <w:r w:rsidRPr="007912C2">
              <w:rPr>
                <w:lang w:val="it-IT"/>
              </w:rPr>
              <w:t>arruolato il 14/12/1984 come Allievo Ufficiale di complemento (cpl.)</w:t>
            </w:r>
          </w:p>
          <w:p w:rsidR="007912C2" w:rsidRPr="007912C2" w:rsidRDefault="007912C2" w:rsidP="007912C2">
            <w:pPr>
              <w:pStyle w:val="Paragrafoelenco"/>
              <w:spacing w:before="0" w:beforeAutospacing="0" w:after="0" w:afterAutospacing="0"/>
              <w:ind w:left="1134" w:hanging="360"/>
              <w:jc w:val="both"/>
              <w:rPr>
                <w:lang w:val="it-IT"/>
              </w:rPr>
            </w:pPr>
            <w:r w:rsidRPr="007912C2">
              <w:rPr>
                <w:lang w:val="it-IT"/>
              </w:rPr>
              <w:t>-</w:t>
            </w:r>
            <w:r w:rsidRPr="007912C2">
              <w:rPr>
                <w:sz w:val="14"/>
                <w:szCs w:val="14"/>
                <w:lang w:val="it-IT"/>
              </w:rPr>
              <w:t xml:space="preserve">          </w:t>
            </w:r>
            <w:r w:rsidRPr="007912C2">
              <w:rPr>
                <w:lang w:val="it-IT"/>
              </w:rPr>
              <w:t>nominato Sottotenente cpl. il 14/04/1985</w:t>
            </w:r>
          </w:p>
          <w:p w:rsidR="007912C2" w:rsidRPr="007912C2" w:rsidRDefault="007912C2" w:rsidP="007912C2">
            <w:pPr>
              <w:pStyle w:val="Paragrafoelenco"/>
              <w:spacing w:before="0" w:beforeAutospacing="0" w:after="0" w:afterAutospacing="0"/>
              <w:ind w:left="1134" w:hanging="360"/>
              <w:jc w:val="both"/>
              <w:rPr>
                <w:lang w:val="it-IT"/>
              </w:rPr>
            </w:pPr>
            <w:r w:rsidRPr="007912C2">
              <w:rPr>
                <w:lang w:val="it-IT"/>
              </w:rPr>
              <w:t>-</w:t>
            </w:r>
            <w:r w:rsidRPr="007912C2">
              <w:rPr>
                <w:sz w:val="14"/>
                <w:szCs w:val="14"/>
                <w:lang w:val="it-IT"/>
              </w:rPr>
              <w:t xml:space="preserve">          </w:t>
            </w:r>
            <w:r w:rsidRPr="007912C2">
              <w:rPr>
                <w:lang w:val="it-IT"/>
              </w:rPr>
              <w:t>posto in congedo il 14/04/1986</w:t>
            </w:r>
          </w:p>
          <w:p w:rsidR="007912C2" w:rsidRPr="007912C2" w:rsidRDefault="007912C2" w:rsidP="007912C2">
            <w:pPr>
              <w:pStyle w:val="Paragrafoelenco"/>
              <w:spacing w:before="0" w:beforeAutospacing="0" w:after="0" w:afterAutospacing="0"/>
              <w:ind w:left="1134" w:hanging="360"/>
              <w:jc w:val="both"/>
              <w:rPr>
                <w:lang w:val="it-IT"/>
              </w:rPr>
            </w:pPr>
            <w:r w:rsidRPr="007912C2">
              <w:rPr>
                <w:lang w:val="it-IT"/>
              </w:rPr>
              <w:t>-</w:t>
            </w:r>
            <w:r w:rsidRPr="007912C2">
              <w:rPr>
                <w:sz w:val="14"/>
                <w:szCs w:val="14"/>
                <w:lang w:val="it-IT"/>
              </w:rPr>
              <w:t xml:space="preserve">          </w:t>
            </w:r>
            <w:r w:rsidRPr="007912C2">
              <w:rPr>
                <w:lang w:val="it-IT"/>
              </w:rPr>
              <w:t>nominato Ufficiale in SPE il 10/10/1987 con titolo al riconoscimento dei benefici di laurea conseguita l’11/12/1983</w:t>
            </w:r>
          </w:p>
          <w:p w:rsidR="007912C2" w:rsidRDefault="007912C2" w:rsidP="007912C2">
            <w:pPr>
              <w:spacing w:before="100" w:beforeAutospacing="1"/>
              <w:jc w:val="right"/>
            </w:pPr>
            <w:r>
              <w:rPr>
                <w:i/>
                <w:iCs/>
              </w:rPr>
              <w:t>Tabella 5 – Calcolo delle Anzianità</w:t>
            </w:r>
          </w:p>
          <w:tbl>
            <w:tblPr>
              <w:tblW w:w="0" w:type="dxa"/>
              <w:jc w:val="center"/>
              <w:tblLayout w:type="fixed"/>
              <w:tblCellMar>
                <w:left w:w="0" w:type="dxa"/>
                <w:right w:w="0" w:type="dxa"/>
              </w:tblCellMar>
              <w:tblLook w:val="04A0" w:firstRow="1" w:lastRow="0" w:firstColumn="1" w:lastColumn="0" w:noHBand="0" w:noVBand="1"/>
            </w:tblPr>
            <w:tblGrid>
              <w:gridCol w:w="2353"/>
              <w:gridCol w:w="2183"/>
              <w:gridCol w:w="709"/>
              <w:gridCol w:w="721"/>
              <w:gridCol w:w="983"/>
              <w:gridCol w:w="851"/>
              <w:gridCol w:w="778"/>
              <w:gridCol w:w="993"/>
            </w:tblGrid>
            <w:tr w:rsidR="007912C2" w:rsidTr="007912C2">
              <w:trPr>
                <w:jc w:val="center"/>
              </w:trPr>
              <w:tc>
                <w:tcPr>
                  <w:tcW w:w="2353" w:type="dxa"/>
                  <w:tcBorders>
                    <w:top w:val="nil"/>
                    <w:left w:val="nil"/>
                    <w:bottom w:val="nil"/>
                    <w:right w:val="nil"/>
                  </w:tcBorders>
                  <w:tcMar>
                    <w:top w:w="0" w:type="dxa"/>
                    <w:left w:w="108" w:type="dxa"/>
                    <w:bottom w:w="0" w:type="dxa"/>
                    <w:right w:w="108" w:type="dxa"/>
                  </w:tcMar>
                  <w:hideMark/>
                </w:tcPr>
                <w:p w:rsidR="007912C2" w:rsidRDefault="007912C2" w:rsidP="007912C2">
                  <w:pPr>
                    <w:spacing w:before="100" w:beforeAutospacing="1"/>
                    <w:jc w:val="center"/>
                  </w:pPr>
                  <w:r>
                    <w:t> </w:t>
                  </w:r>
                </w:p>
              </w:tc>
              <w:tc>
                <w:tcPr>
                  <w:tcW w:w="2183" w:type="dxa"/>
                  <w:tcBorders>
                    <w:top w:val="nil"/>
                    <w:left w:val="nil"/>
                    <w:bottom w:val="nil"/>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 </w:t>
                  </w:r>
                </w:p>
              </w:tc>
              <w:tc>
                <w:tcPr>
                  <w:tcW w:w="24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rPr>
                    <w:t xml:space="preserve">ANZIANITA’ </w:t>
                  </w:r>
                </w:p>
                <w:p w:rsidR="007912C2" w:rsidRDefault="007912C2" w:rsidP="007912C2">
                  <w:pPr>
                    <w:spacing w:before="100" w:beforeAutospacing="1"/>
                    <w:jc w:val="center"/>
                  </w:pPr>
                  <w:r>
                    <w:rPr>
                      <w:b/>
                      <w:bCs/>
                    </w:rPr>
                    <w:t>DI SERVIZIO</w:t>
                  </w:r>
                </w:p>
              </w:tc>
              <w:tc>
                <w:tcPr>
                  <w:tcW w:w="262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rPr>
                    <w:t xml:space="preserve">ANZIANITA’ </w:t>
                  </w:r>
                </w:p>
                <w:p w:rsidR="007912C2" w:rsidRDefault="007912C2" w:rsidP="007912C2">
                  <w:pPr>
                    <w:spacing w:before="100" w:beforeAutospacing="1"/>
                    <w:jc w:val="center"/>
                  </w:pPr>
                  <w:r>
                    <w:rPr>
                      <w:b/>
                      <w:bCs/>
                    </w:rPr>
                    <w:t xml:space="preserve">DA UFFICIALE </w:t>
                  </w:r>
                </w:p>
              </w:tc>
            </w:tr>
            <w:tr w:rsidR="007912C2" w:rsidTr="007912C2">
              <w:trPr>
                <w:jc w:val="center"/>
              </w:trPr>
              <w:tc>
                <w:tcPr>
                  <w:tcW w:w="453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ANNI</w:t>
                  </w:r>
                </w:p>
              </w:tc>
              <w:tc>
                <w:tcPr>
                  <w:tcW w:w="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MESI</w:t>
                  </w:r>
                </w:p>
              </w:tc>
              <w:tc>
                <w:tcPr>
                  <w:tcW w:w="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GIORNI</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ANNI</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MESI</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GIORNI</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t>ANZIANITA’ DI SERVIZIO DALLA DATA DI ARRUOLAMENTO (a)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34</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3</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20</w:t>
                  </w:r>
                </w:p>
              </w:tc>
              <w:tc>
                <w:tcPr>
                  <w:tcW w:w="85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78"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9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t>ANZIANITA’ DALLA NOMINA AD UFFICIALE DI COMPLEMENTO (b)</w:t>
                  </w:r>
                </w:p>
              </w:tc>
              <w:tc>
                <w:tcPr>
                  <w:tcW w:w="70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2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8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33</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11</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20</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i/>
                      <w:iCs/>
                    </w:rPr>
                    <w:t>PERIODO DI CONGEDO (c)</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5</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26</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1</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26</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i/>
                      <w:iCs/>
                    </w:rPr>
                    <w:t>PERIODI DI SOSPENSIONE DALL’IMPIEGO (d)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i/>
                      <w:iCs/>
                    </w:rPr>
                    <w:t>PERIODI DI ASPETTATIVA (e)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i/>
                      <w:iCs/>
                    </w:rPr>
                    <w:t>TOTALE DIMINUIZIONI ANZIANITA’ (f=c+d+e)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5</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26</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1</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26</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t>TOTALE ANZIANITA’ DI SERVIZIO (g=a-f)</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32</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9</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24</w:t>
                  </w:r>
                </w:p>
              </w:tc>
              <w:tc>
                <w:tcPr>
                  <w:tcW w:w="85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78"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9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t>TOTALE ANZIANITA’ DA UFFICIALE (h=b-f)</w:t>
                  </w:r>
                </w:p>
              </w:tc>
              <w:tc>
                <w:tcPr>
                  <w:tcW w:w="70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2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8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32</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24</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i/>
                      <w:iCs/>
                    </w:rPr>
                    <w:t>PERIODI UTILI (BENEFICI DI LAUREA) (i)</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4</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4</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t>0</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b/>
                      <w:bCs/>
                    </w:rPr>
                    <w:t>TOTALE ANZIANITA’ DI SERVIZIO DA UFFICIALE COMUNQUE PRESTATO (l=g+h)</w:t>
                  </w:r>
                </w:p>
              </w:tc>
              <w:tc>
                <w:tcPr>
                  <w:tcW w:w="70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2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8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36</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24</w:t>
                  </w:r>
                </w:p>
              </w:tc>
            </w:tr>
            <w:tr w:rsidR="007912C2" w:rsidTr="007912C2">
              <w:trPr>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both"/>
                  </w:pPr>
                  <w:r>
                    <w:rPr>
                      <w:b/>
                      <w:bCs/>
                    </w:rPr>
                    <w:lastRenderedPageBreak/>
                    <w:t>TOTALE ANZIANITA’ DI SERVIZIO COMUNQUE PRESTATO (m=l+h)</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36</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9</w:t>
                  </w:r>
                </w:p>
              </w:tc>
              <w:tc>
                <w:tcPr>
                  <w:tcW w:w="983" w:type="dxa"/>
                  <w:tcBorders>
                    <w:top w:val="nil"/>
                    <w:left w:val="nil"/>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jc w:val="center"/>
                  </w:pPr>
                  <w:r>
                    <w:rPr>
                      <w:b/>
                      <w:bCs/>
                      <w:u w:val="single"/>
                    </w:rPr>
                    <w:t>24</w:t>
                  </w:r>
                </w:p>
              </w:tc>
              <w:tc>
                <w:tcPr>
                  <w:tcW w:w="851"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778"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c>
                <w:tcPr>
                  <w:tcW w:w="99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7912C2" w:rsidRDefault="007912C2" w:rsidP="007912C2">
                  <w:pPr>
                    <w:spacing w:before="100" w:beforeAutospacing="1"/>
                    <w:jc w:val="center"/>
                  </w:pPr>
                  <w:r>
                    <w:t> </w:t>
                  </w:r>
                </w:p>
              </w:tc>
            </w:tr>
          </w:tbl>
          <w:p w:rsidR="007912C2" w:rsidRPr="007912C2" w:rsidRDefault="007912C2" w:rsidP="007912C2">
            <w:pPr>
              <w:spacing w:before="100" w:beforeAutospacing="1"/>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rPr>
                <w:lang w:val="it-IT"/>
              </w:rPr>
            </w:pPr>
            <w:r w:rsidRPr="007912C2">
              <w:rPr>
                <w:b/>
                <w:bCs/>
                <w:sz w:val="20"/>
                <w:szCs w:val="20"/>
                <w:lang w:val="it-IT"/>
              </w:rPr>
              <w:t> </w:t>
            </w:r>
          </w:p>
          <w:p w:rsidR="007912C2" w:rsidRPr="007912C2" w:rsidRDefault="007912C2" w:rsidP="007912C2">
            <w:pPr>
              <w:pStyle w:val="Titolo2"/>
              <w:ind w:left="426" w:hanging="426"/>
              <w:rPr>
                <w:lang w:val="it-IT"/>
              </w:rPr>
            </w:pPr>
            <w:bookmarkStart w:id="7" w:name="_Toc4422780"/>
            <w:r w:rsidRPr="007912C2">
              <w:rPr>
                <w:lang w:val="it-IT"/>
              </w:rPr>
              <w:t>1.2 Indennità operative fondamentali e supplementari</w:t>
            </w:r>
            <w:bookmarkEnd w:id="7"/>
          </w:p>
          <w:p w:rsidR="007912C2" w:rsidRPr="007912C2" w:rsidRDefault="007912C2" w:rsidP="007912C2">
            <w:pPr>
              <w:spacing w:before="100" w:beforeAutospacing="1" w:line="276" w:lineRule="auto"/>
              <w:rPr>
                <w:lang w:val="it-IT"/>
              </w:rPr>
            </w:pPr>
            <w:r w:rsidRPr="007912C2">
              <w:rPr>
                <w:b/>
                <w:bCs/>
                <w:sz w:val="20"/>
                <w:szCs w:val="20"/>
                <w:lang w:val="it-IT"/>
              </w:rPr>
              <w:t> </w:t>
            </w:r>
          </w:p>
          <w:p w:rsidR="007912C2" w:rsidRPr="007912C2" w:rsidRDefault="007912C2" w:rsidP="007912C2">
            <w:pPr>
              <w:spacing w:before="100" w:beforeAutospacing="1" w:line="276" w:lineRule="auto"/>
              <w:jc w:val="both"/>
              <w:rPr>
                <w:lang w:val="it-IT"/>
              </w:rPr>
            </w:pPr>
            <w:r w:rsidRPr="007912C2">
              <w:rPr>
                <w:lang w:val="it-IT"/>
              </w:rPr>
              <w:t>Le indennità possono essere classificate, in base alla propria natura, come fondamentali, supplementari o altre specifiche. La predetta classificazione recepisce gli istituti disciplinati dalla Legge 78/1983 e quelli introdotti con i successivi provvedimenti legislativi. Tra quest’ultimi si richiamano:</w:t>
            </w:r>
          </w:p>
          <w:p w:rsidR="007912C2" w:rsidRPr="007912C2" w:rsidRDefault="007912C2" w:rsidP="007912C2">
            <w:pPr>
              <w:spacing w:line="276" w:lineRule="auto"/>
              <w:ind w:left="284" w:hanging="284"/>
              <w:jc w:val="both"/>
              <w:rPr>
                <w:lang w:val="it-IT"/>
              </w:rPr>
            </w:pPr>
            <w:r w:rsidRPr="007912C2">
              <w:rPr>
                <w:sz w:val="20"/>
                <w:szCs w:val="20"/>
                <w:lang w:val="it-IT"/>
              </w:rPr>
              <w:t>-</w:t>
            </w:r>
            <w:r w:rsidRPr="007912C2">
              <w:rPr>
                <w:sz w:val="14"/>
                <w:szCs w:val="14"/>
                <w:lang w:val="it-IT"/>
              </w:rPr>
              <w:t xml:space="preserve">        </w:t>
            </w:r>
            <w:r w:rsidRPr="007912C2">
              <w:rPr>
                <w:lang w:val="it-IT"/>
              </w:rPr>
              <w:t>L. 468/1987 che ha esteso al personale militare delle Capitanerie di Porto l’indennità mensile pensionabile di cui all’art. 43 comma 3 L. 121/1981 prevista per le Forze di Polizia;</w:t>
            </w:r>
          </w:p>
          <w:p w:rsidR="007912C2" w:rsidRPr="007912C2" w:rsidRDefault="007912C2" w:rsidP="007912C2">
            <w:pPr>
              <w:spacing w:line="276" w:lineRule="auto"/>
              <w:ind w:left="284" w:hanging="284"/>
              <w:jc w:val="both"/>
              <w:rPr>
                <w:lang w:val="it-IT"/>
              </w:rPr>
            </w:pPr>
            <w:r w:rsidRPr="007912C2">
              <w:rPr>
                <w:sz w:val="20"/>
                <w:szCs w:val="20"/>
                <w:lang w:val="it-IT"/>
              </w:rPr>
              <w:t>-</w:t>
            </w:r>
            <w:r w:rsidRPr="007912C2">
              <w:rPr>
                <w:sz w:val="14"/>
                <w:szCs w:val="14"/>
                <w:lang w:val="it-IT"/>
              </w:rPr>
              <w:t xml:space="preserve">        </w:t>
            </w:r>
            <w:r w:rsidRPr="007912C2">
              <w:rPr>
                <w:lang w:val="it-IT"/>
              </w:rPr>
              <w:t>DPR 360/1996 che ha istituito l’indennità fondamentale di “supercampagna”;</w:t>
            </w:r>
          </w:p>
          <w:p w:rsidR="007912C2" w:rsidRPr="007912C2" w:rsidRDefault="007912C2" w:rsidP="007912C2">
            <w:pPr>
              <w:spacing w:line="276" w:lineRule="auto"/>
              <w:ind w:left="284" w:hanging="284"/>
              <w:jc w:val="both"/>
              <w:rPr>
                <w:lang w:val="it-IT"/>
              </w:rPr>
            </w:pPr>
            <w:r w:rsidRPr="007912C2">
              <w:rPr>
                <w:sz w:val="20"/>
                <w:szCs w:val="20"/>
                <w:lang w:val="it-IT"/>
              </w:rPr>
              <w:t>-</w:t>
            </w:r>
            <w:r w:rsidRPr="007912C2">
              <w:rPr>
                <w:sz w:val="14"/>
                <w:szCs w:val="14"/>
                <w:lang w:val="it-IT"/>
              </w:rPr>
              <w:t xml:space="preserve">        </w:t>
            </w:r>
            <w:r w:rsidRPr="007912C2">
              <w:rPr>
                <w:lang w:val="it-IT"/>
              </w:rPr>
              <w:t>DPR 171/2007 che ha istituito l’indennità supplementare per operatori di Forze Speciali;</w:t>
            </w:r>
          </w:p>
          <w:p w:rsidR="007912C2" w:rsidRPr="007912C2" w:rsidRDefault="007912C2" w:rsidP="007912C2">
            <w:pPr>
              <w:spacing w:line="276" w:lineRule="auto"/>
              <w:ind w:left="284" w:hanging="284"/>
              <w:jc w:val="both"/>
              <w:rPr>
                <w:lang w:val="it-IT"/>
              </w:rPr>
            </w:pPr>
            <w:r w:rsidRPr="007912C2">
              <w:rPr>
                <w:sz w:val="20"/>
                <w:szCs w:val="20"/>
                <w:lang w:val="it-IT"/>
              </w:rPr>
              <w:t>-</w:t>
            </w:r>
            <w:r w:rsidRPr="007912C2">
              <w:rPr>
                <w:sz w:val="14"/>
                <w:szCs w:val="14"/>
                <w:lang w:val="it-IT"/>
              </w:rPr>
              <w:t xml:space="preserve">        </w:t>
            </w:r>
            <w:r w:rsidRPr="007912C2">
              <w:rPr>
                <w:lang w:val="it-IT"/>
              </w:rPr>
              <w:t>DPR 52/2009 (art. 9) che ha istituito l’indennità di impiego operativo aggiuntiva per personale destinato presso stabilimenti militari di pena, l’indennità fondamentale per il controllo dello spazio marittimo e l’indennità supplementare per il personale “acquisitore obiettivi” o “ranger”</w:t>
            </w:r>
          </w:p>
          <w:p w:rsidR="007912C2" w:rsidRPr="007912C2" w:rsidRDefault="007912C2" w:rsidP="007912C2">
            <w:pPr>
              <w:spacing w:line="276" w:lineRule="auto"/>
              <w:ind w:left="284" w:hanging="284"/>
              <w:jc w:val="both"/>
              <w:rPr>
                <w:lang w:val="it-IT"/>
              </w:rPr>
            </w:pPr>
            <w:r w:rsidRPr="007912C2">
              <w:rPr>
                <w:sz w:val="20"/>
                <w:szCs w:val="20"/>
                <w:lang w:val="it-IT"/>
              </w:rPr>
              <w:t>-</w:t>
            </w:r>
            <w:r w:rsidRPr="007912C2">
              <w:rPr>
                <w:sz w:val="14"/>
                <w:szCs w:val="14"/>
                <w:lang w:val="it-IT"/>
              </w:rPr>
              <w:t xml:space="preserve">        </w:t>
            </w:r>
            <w:r w:rsidRPr="007912C2">
              <w:rPr>
                <w:lang w:val="it-IT"/>
              </w:rPr>
              <w:t xml:space="preserve">D.L. 253/2006 (art. 6 bis) con cui è stato riconosciuto al personale militare inquadrato in contingenti impiegati in missioni internazionali di pace una maggiorazione percentuale dell’indennità operativa di base pari al 185%. Tale compenso, confermato di volta in volta con i vari decreti di autorizzazione delle missioni internazionali di pace, ha trovato un definitivo riconoscimento nella cosiddetta legge quadro sulle missioni internazionali di pace (L. 146/2016), che ha disciplinato in via permanente la partecipazione delle Forze armate, delle Forze di Polizia ad ordinamento militare o civile e dei corpi civili di pace a missioni internazionali istituite nell'ambito dell'Organizzazione delle Nazioni Unite (ONU) o di altre organizzazioni internazionali cui l'Italia appartiene o comunque istituite in conformità al diritto internazionale, comprese le operazioni militari e le missioni civili di polizia e per lo stato di diritto dell'Unione europea. </w:t>
            </w:r>
          </w:p>
          <w:p w:rsidR="007912C2" w:rsidRPr="007912C2" w:rsidRDefault="007912C2" w:rsidP="007912C2">
            <w:pPr>
              <w:spacing w:before="100" w:beforeAutospacing="1" w:line="276" w:lineRule="auto"/>
              <w:jc w:val="both"/>
              <w:rPr>
                <w:lang w:val="it-IT"/>
              </w:rPr>
            </w:pPr>
            <w:r w:rsidRPr="007912C2">
              <w:rPr>
                <w:lang w:val="it-IT"/>
              </w:rPr>
              <w:t>Come detto, in base al valore dell’indennità operativa di base è possibile calcolare le altre indennità, la cui misura varia a seconda della tipologia di attività svolta, ruolo/incarico ricoperto e dell’ente d’impiego. Fanno eccezione le cosiddette indennità “</w:t>
            </w:r>
            <w:r w:rsidRPr="007912C2">
              <w:rPr>
                <w:i/>
                <w:iCs/>
                <w:lang w:val="it-IT"/>
              </w:rPr>
              <w:t>non verticalizzate</w:t>
            </w:r>
            <w:r w:rsidRPr="007912C2">
              <w:rPr>
                <w:lang w:val="it-IT"/>
              </w:rPr>
              <w:t>”, la cui entità è individuata in misura autonoma o calcolata in rapporto alla misura dell’indennità operativa di base prevista per il grado di Maresciallo (a prescindere dal grado effettivo del percipiente). Tra quest’ultime rientrano:</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l’indennità di volo oraria (art. 15 L. 78/1983) che è uguale per tutti i gradi ed è pari al 2% dell’indennità operativa di base prevista per il grado di Maresciallo (euro 3,10 per ogni ora di volo);</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l’indennità supplementare per servizio idrografico che è pari al 36% dell’indennità operativa di base prevista per il grado di Maresciallo (euro 1,86 per ogni giorno);</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lastRenderedPageBreak/>
              <w:t>-</w:t>
            </w:r>
            <w:r w:rsidRPr="007912C2">
              <w:rPr>
                <w:sz w:val="14"/>
                <w:szCs w:val="14"/>
                <w:lang w:val="it-IT"/>
              </w:rPr>
              <w:t xml:space="preserve">        </w:t>
            </w:r>
            <w:r w:rsidRPr="007912C2">
              <w:rPr>
                <w:lang w:val="it-IT"/>
              </w:rPr>
              <w:t>l’indennità supplementare per disagiata residenza (art. 16 L. 78/1983) che è fissata, in relazione ai parametri di disagio, nella misura del 25%, 50%, 75% o 100% dell’indennità operativa di base prevista per il grado di Maresciallo;</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l’indennità supplementare per operatori di Forze Speciali (art. 6 DPR 171/2007) che è fissata, per tutti i gradi, nella misura di euro 120 mensili;</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l’indennità di impiego operativo aggiuntiva per personale destinato presso stabilimenti militari di pena (art. 9 DPR 52/2009) la cui misura è fissata per legge in relazione al grado;</w:t>
            </w:r>
          </w:p>
          <w:p w:rsidR="007912C2" w:rsidRPr="007912C2" w:rsidRDefault="007912C2" w:rsidP="007912C2">
            <w:pPr>
              <w:spacing w:before="100" w:beforeAutospacing="1" w:line="276" w:lineRule="auto"/>
              <w:ind w:firstLine="426"/>
              <w:jc w:val="both"/>
              <w:rPr>
                <w:lang w:val="it-IT"/>
              </w:rPr>
            </w:pPr>
            <w:r w:rsidRPr="007912C2">
              <w:rPr>
                <w:lang w:val="it-IT"/>
              </w:rPr>
              <w:t> </w:t>
            </w:r>
          </w:p>
          <w:p w:rsidR="007912C2" w:rsidRPr="007912C2" w:rsidRDefault="007912C2" w:rsidP="007912C2">
            <w:pPr>
              <w:pStyle w:val="Titolo2"/>
              <w:rPr>
                <w:lang w:val="it-IT"/>
              </w:rPr>
            </w:pPr>
            <w:bookmarkStart w:id="8" w:name="_Toc4422781"/>
            <w:r w:rsidRPr="007912C2">
              <w:rPr>
                <w:lang w:val="it-IT"/>
              </w:rPr>
              <w:t>1.3 Cumulabilità e limiti di corresponsione</w:t>
            </w:r>
            <w:bookmarkEnd w:id="8"/>
          </w:p>
          <w:p w:rsidR="007912C2" w:rsidRPr="007912C2" w:rsidRDefault="007912C2" w:rsidP="007912C2">
            <w:pPr>
              <w:spacing w:before="100" w:beforeAutospacing="1" w:line="276" w:lineRule="auto"/>
              <w:jc w:val="both"/>
              <w:rPr>
                <w:lang w:val="it-IT"/>
              </w:rPr>
            </w:pPr>
            <w:r w:rsidRPr="007912C2">
              <w:rPr>
                <w:lang w:val="it-IT"/>
              </w:rPr>
              <w:t xml:space="preserve">La legge prevede il </w:t>
            </w:r>
            <w:r w:rsidRPr="007912C2">
              <w:rPr>
                <w:b/>
                <w:bCs/>
                <w:lang w:val="it-IT"/>
              </w:rPr>
              <w:t>divieto di cumulo fra operative fondamentali</w:t>
            </w:r>
            <w:r w:rsidRPr="007912C2">
              <w:rPr>
                <w:lang w:val="it-IT"/>
              </w:rPr>
              <w:t xml:space="preserve"> (art. 17 L. 78/1983), salvo le deroghe espressamente previste, di seguito indicate:</w:t>
            </w:r>
          </w:p>
          <w:p w:rsidR="007912C2" w:rsidRPr="007912C2" w:rsidRDefault="007912C2" w:rsidP="007912C2">
            <w:pPr>
              <w:pStyle w:val="Paragrafoelenco"/>
              <w:spacing w:before="0" w:beforeAutospacing="0" w:after="0" w:afterAutospacing="0" w:line="276" w:lineRule="auto"/>
              <w:ind w:left="360" w:hanging="360"/>
              <w:jc w:val="both"/>
              <w:rPr>
                <w:lang w:val="it-IT"/>
              </w:rPr>
            </w:pPr>
            <w:r w:rsidRPr="007912C2">
              <w:rPr>
                <w:lang w:val="it-IT"/>
              </w:rPr>
              <w:t>a)</w:t>
            </w:r>
            <w:r w:rsidRPr="007912C2">
              <w:rPr>
                <w:sz w:val="14"/>
                <w:szCs w:val="14"/>
                <w:lang w:val="it-IT"/>
              </w:rPr>
              <w:t xml:space="preserve">       </w:t>
            </w:r>
            <w:r w:rsidRPr="007912C2">
              <w:rPr>
                <w:lang w:val="it-IT"/>
              </w:rPr>
              <w:t>I piloti e gli specialisti di volo imbarcati a bordo di unità navali che svolgono attività di volo con aeromobili possono cumulare l’indennità di aeronavigazione con l’indennità d’imbarco, percependo l’indennità più favorevole in misura intera e l’altra in misura ridotta al 25%;</w:t>
            </w:r>
          </w:p>
          <w:p w:rsidR="007912C2" w:rsidRPr="007912C2" w:rsidRDefault="007912C2" w:rsidP="007912C2">
            <w:pPr>
              <w:pStyle w:val="Paragrafoelenco"/>
              <w:spacing w:before="0" w:beforeAutospacing="0" w:after="0" w:afterAutospacing="0" w:line="276" w:lineRule="auto"/>
              <w:ind w:left="360" w:hanging="360"/>
              <w:jc w:val="both"/>
              <w:rPr>
                <w:lang w:val="it-IT"/>
              </w:rPr>
            </w:pPr>
            <w:r w:rsidRPr="007912C2">
              <w:rPr>
                <w:lang w:val="it-IT"/>
              </w:rPr>
              <w:t>b)</w:t>
            </w:r>
            <w:r w:rsidRPr="007912C2">
              <w:rPr>
                <w:sz w:val="14"/>
                <w:szCs w:val="14"/>
                <w:lang w:val="it-IT"/>
              </w:rPr>
              <w:t xml:space="preserve">      </w:t>
            </w:r>
            <w:r w:rsidRPr="007912C2">
              <w:rPr>
                <w:lang w:val="it-IT"/>
              </w:rPr>
              <w:t>Piloti e paracadutisti che svolgono attività di volo o di paracadutismo presso Comandi/Reparti delle truppe alpine possono cumulare l’indennità di aeronavigazione o volo con l’indennità operativa di campagna per truppe alpine, percependo l’indennità più favorevole per intero, l’altra in misura ridotta all’8%.</w:t>
            </w:r>
          </w:p>
          <w:p w:rsidR="007912C2" w:rsidRPr="007912C2" w:rsidRDefault="007912C2" w:rsidP="007912C2">
            <w:pPr>
              <w:spacing w:before="100" w:beforeAutospacing="1" w:line="276" w:lineRule="auto"/>
              <w:jc w:val="both"/>
              <w:rPr>
                <w:lang w:val="it-IT"/>
              </w:rPr>
            </w:pPr>
            <w:r w:rsidRPr="007912C2">
              <w:rPr>
                <w:lang w:val="it-IT"/>
              </w:rPr>
              <w:t>Nel caso in cui l'amministrato abbia diritto a più indennità fondamentali contemporaneamente, data la loro non cumulabilità, è previsto un diritto di opzione (in realtà operato d’ufficio) per il trattamento più favorevole (art.17, c.1 della Legge n. 78/1983).</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Diversamente, le indennità operative supplementari, create per riconoscere le numerose attività che il personale della difesa svolge anche contemporaneamente durante il servizio, possono essere percepite unitamente all’indennità operativa fondamentale e sono cumulabili tra loro solo se non remunerano la medesima professionalità e prontezza all'impiego (es.: le indennità supplementari connesse al volo, previste dall’art. 13 della L.78/83, sono alternative tra loro; l’indennità supplementare per incursori e subacquei di cui all’art. 9 della legge 78/1983 non è cumulabile con l’indennità supplementare di volo per il pronto intervento aereo).</w:t>
            </w:r>
          </w:p>
          <w:p w:rsidR="007912C2" w:rsidRPr="007912C2" w:rsidRDefault="007912C2" w:rsidP="007912C2">
            <w:pPr>
              <w:spacing w:before="100" w:beforeAutospacing="1" w:line="276" w:lineRule="auto"/>
              <w:jc w:val="both"/>
              <w:rPr>
                <w:lang w:val="it-IT"/>
              </w:rPr>
            </w:pPr>
            <w:r w:rsidRPr="007912C2">
              <w:rPr>
                <w:lang w:val="it-IT"/>
              </w:rPr>
              <w:t>Alcune indennità operative sono sottoposte a limiti di corresponsione. Tra queste rientrano:</w:t>
            </w:r>
          </w:p>
          <w:p w:rsidR="007912C2" w:rsidRPr="007912C2" w:rsidRDefault="007912C2" w:rsidP="007912C2">
            <w:pPr>
              <w:pStyle w:val="Paragrafoelenco"/>
              <w:spacing w:before="0" w:beforeAutospacing="0" w:after="0" w:afterAutospacing="0"/>
              <w:ind w:left="426" w:hanging="360"/>
              <w:jc w:val="both"/>
              <w:rPr>
                <w:lang w:val="it-IT"/>
              </w:rPr>
            </w:pPr>
            <w:r w:rsidRPr="007912C2">
              <w:rPr>
                <w:lang w:val="it-IT"/>
              </w:rPr>
              <w:t>-</w:t>
            </w:r>
            <w:r w:rsidRPr="007912C2">
              <w:rPr>
                <w:sz w:val="14"/>
                <w:szCs w:val="14"/>
                <w:lang w:val="it-IT"/>
              </w:rPr>
              <w:t xml:space="preserve">          </w:t>
            </w:r>
            <w:r w:rsidRPr="007912C2">
              <w:rPr>
                <w:lang w:val="it-IT"/>
              </w:rPr>
              <w:t>l’indennità di volo oraria (art. 15 L. 78/1983) attribuibile per ogni ora o frazione di ora di volo nel limite mensile massimo della somma corrispondente a 10 ore di volo; tale indennità non può essere attribuita al personale percettore di indennità di aeronavigazione, di pilotaggio o di volo;</w:t>
            </w:r>
          </w:p>
          <w:p w:rsidR="007912C2" w:rsidRPr="007912C2" w:rsidRDefault="007912C2" w:rsidP="007912C2">
            <w:pPr>
              <w:pStyle w:val="Paragrafoelenco"/>
              <w:spacing w:before="0" w:beforeAutospacing="0" w:after="0" w:afterAutospacing="0"/>
              <w:ind w:left="426" w:hanging="360"/>
              <w:jc w:val="both"/>
              <w:rPr>
                <w:lang w:val="it-IT"/>
              </w:rPr>
            </w:pPr>
            <w:r w:rsidRPr="007912C2">
              <w:rPr>
                <w:lang w:val="it-IT"/>
              </w:rPr>
              <w:t>-</w:t>
            </w:r>
            <w:r w:rsidRPr="007912C2">
              <w:rPr>
                <w:sz w:val="14"/>
                <w:szCs w:val="14"/>
                <w:lang w:val="it-IT"/>
              </w:rPr>
              <w:t xml:space="preserve">          </w:t>
            </w:r>
            <w:r w:rsidRPr="007912C2">
              <w:rPr>
                <w:lang w:val="it-IT"/>
              </w:rPr>
              <w:t>compenso per collaudo di aeromobili (art. 13 L. 78/1983) che non può superare mensilmente la somma corrispondente a tre collaudi per ogni amministrato; tale compenso è cumulabile con tutte le altre indennità fondamentali e supplementari</w:t>
            </w:r>
          </w:p>
          <w:p w:rsidR="007912C2" w:rsidRPr="007912C2" w:rsidRDefault="007912C2" w:rsidP="007912C2">
            <w:pPr>
              <w:spacing w:before="100" w:beforeAutospacing="1" w:line="276" w:lineRule="auto"/>
              <w:ind w:firstLine="707"/>
              <w:jc w:val="both"/>
              <w:rPr>
                <w:lang w:val="it-IT"/>
              </w:rPr>
            </w:pPr>
            <w:r w:rsidRPr="007912C2">
              <w:rPr>
                <w:lang w:val="it-IT"/>
              </w:rPr>
              <w:t> </w:t>
            </w:r>
          </w:p>
          <w:p w:rsidR="007912C2" w:rsidRPr="007912C2" w:rsidRDefault="007912C2" w:rsidP="007912C2">
            <w:pPr>
              <w:pStyle w:val="Titolo2"/>
              <w:rPr>
                <w:lang w:val="it-IT"/>
              </w:rPr>
            </w:pPr>
            <w:bookmarkStart w:id="9" w:name="_Toc4422782"/>
            <w:r w:rsidRPr="007912C2">
              <w:rPr>
                <w:lang w:val="it-IT"/>
              </w:rPr>
              <w:lastRenderedPageBreak/>
              <w:t>1.4 Indennità per servizio di volo residuale (c.d. “volo obbligatorio”) (art. 6, comma 4, L. 78/1983)</w:t>
            </w:r>
            <w:bookmarkEnd w:id="9"/>
          </w:p>
          <w:p w:rsidR="007912C2" w:rsidRPr="007912C2" w:rsidRDefault="007912C2" w:rsidP="007912C2">
            <w:pPr>
              <w:spacing w:before="240" w:line="276" w:lineRule="auto"/>
              <w:jc w:val="both"/>
              <w:rPr>
                <w:lang w:val="it-IT"/>
              </w:rPr>
            </w:pPr>
            <w:r w:rsidRPr="007912C2">
              <w:rPr>
                <w:lang w:val="it-IT"/>
              </w:rPr>
              <w:t xml:space="preserve">E’ una particolare indennità fondamentale per servizi di volo (remunera l’assoggettamento ad obbligo di volo), avente carattere residuale, che viene attribuita in misura differenziata in relazione alla qualifica di appartenenza ed al grado rivestito (importi in </w:t>
            </w:r>
            <w:r w:rsidRPr="007912C2">
              <w:rPr>
                <w:b/>
                <w:bCs/>
                <w:u w:val="single"/>
                <w:lang w:val="it-IT"/>
              </w:rPr>
              <w:t>allegato E</w:t>
            </w:r>
            <w:r w:rsidRPr="007912C2">
              <w:rPr>
                <w:lang w:val="it-IT"/>
              </w:rPr>
              <w:t>). Nel rispetto del principio di non cumulabilità delle indennità operative fondamentali, la percezione di tale emolumento riduce di pari importo la misura dell’indennità operativa fondamentale in godimento.</w:t>
            </w:r>
          </w:p>
          <w:p w:rsidR="007912C2" w:rsidRPr="007912C2" w:rsidRDefault="007912C2" w:rsidP="007912C2">
            <w:pPr>
              <w:spacing w:before="100" w:beforeAutospacing="1" w:line="276" w:lineRule="auto"/>
              <w:jc w:val="both"/>
              <w:rPr>
                <w:lang w:val="it-IT"/>
              </w:rPr>
            </w:pPr>
            <w:r w:rsidRPr="007912C2">
              <w:rPr>
                <w:lang w:val="it-IT"/>
              </w:rPr>
              <w:t>L’indennità in argomento non è corrisposta al personale percettore dell’indennità di aeronavigazione o dell’indennità di volo di cui agli artt. 5 e 6 della legge 78/1983.</w:t>
            </w:r>
          </w:p>
          <w:p w:rsidR="007912C2" w:rsidRPr="007912C2" w:rsidRDefault="007912C2" w:rsidP="007912C2">
            <w:pPr>
              <w:pStyle w:val="Titolo2"/>
              <w:rPr>
                <w:lang w:val="it-IT"/>
              </w:rPr>
            </w:pPr>
            <w:bookmarkStart w:id="10" w:name="_Toc4422783"/>
            <w:r w:rsidRPr="007912C2">
              <w:rPr>
                <w:lang w:val="it-IT"/>
              </w:rPr>
              <w:t>1.5 Indennità supplementare di marcia (art. 8, comma 1, L. 78/1983)</w:t>
            </w:r>
            <w:bookmarkEnd w:id="10"/>
          </w:p>
          <w:p w:rsidR="007912C2" w:rsidRPr="007912C2" w:rsidRDefault="007912C2" w:rsidP="007912C2">
            <w:pPr>
              <w:spacing w:before="100" w:beforeAutospacing="1" w:line="276" w:lineRule="auto"/>
              <w:jc w:val="both"/>
              <w:rPr>
                <w:lang w:val="it-IT"/>
              </w:rPr>
            </w:pPr>
            <w:r w:rsidRPr="007912C2">
              <w:rPr>
                <w:lang w:val="it-IT"/>
              </w:rPr>
              <w:t xml:space="preserve">L'indennità è calcolata in misura verticalizzata su base mensile e percentuale (180%) dell'operativa di base, ma mantiene la </w:t>
            </w:r>
            <w:r w:rsidRPr="007912C2">
              <w:rPr>
                <w:u w:val="single"/>
                <w:lang w:val="it-IT"/>
              </w:rPr>
              <w:t>cadenza giornaliera</w:t>
            </w:r>
            <w:r w:rsidRPr="007912C2">
              <w:rPr>
                <w:lang w:val="it-IT"/>
              </w:rPr>
              <w:t>. E’ corrisposta a tutto il personale militare qualora sia comandato in drappelli di almeno 10 unità fuori dall'ordinaria sede di servizio e per una durata di almeno 8 ore consecutive.</w:t>
            </w:r>
          </w:p>
          <w:p w:rsidR="007912C2" w:rsidRPr="007912C2" w:rsidRDefault="007912C2" w:rsidP="007912C2">
            <w:pPr>
              <w:spacing w:before="100" w:beforeAutospacing="1" w:line="276" w:lineRule="auto"/>
              <w:jc w:val="both"/>
              <w:rPr>
                <w:lang w:val="it-IT"/>
              </w:rPr>
            </w:pPr>
            <w:r w:rsidRPr="007912C2">
              <w:rPr>
                <w:lang w:val="it-IT"/>
              </w:rPr>
              <w:t xml:space="preserve">L’indennità, poiché è corrisposta in alternativa all’indennità di missione della quale sposa la </w:t>
            </w:r>
            <w:r w:rsidRPr="007912C2">
              <w:rPr>
                <w:i/>
                <w:iCs/>
                <w:lang w:val="it-IT"/>
              </w:rPr>
              <w:t>ratio</w:t>
            </w:r>
            <w:r w:rsidRPr="007912C2">
              <w:rPr>
                <w:lang w:val="it-IT"/>
              </w:rPr>
              <w:t>, segue le regole dell’art. 51, comma 5 del DPR 917/1986 con le sottonotate riduzioni della base imponibile fiscale e previdenziale nel caso in cui il servizio si svolga fuori dal territorio comunale:</w:t>
            </w:r>
          </w:p>
          <w:p w:rsidR="007912C2" w:rsidRPr="007912C2" w:rsidRDefault="007912C2" w:rsidP="007912C2">
            <w:pPr>
              <w:pStyle w:val="Paragrafoelenco"/>
              <w:spacing w:after="0" w:afterAutospacing="0" w:line="276" w:lineRule="auto"/>
              <w:ind w:hanging="360"/>
              <w:jc w:val="both"/>
              <w:rPr>
                <w:lang w:val="it-IT"/>
              </w:rPr>
            </w:pPr>
            <w:r>
              <w:rPr>
                <w:rFonts w:ascii="Symbol" w:hAnsi="Symbol"/>
              </w:rPr>
              <w:t></w:t>
            </w:r>
            <w:r w:rsidRPr="007912C2">
              <w:rPr>
                <w:sz w:val="14"/>
                <w:szCs w:val="14"/>
                <w:lang w:val="it-IT"/>
              </w:rPr>
              <w:t xml:space="preserve">         </w:t>
            </w:r>
            <w:r w:rsidRPr="007912C2">
              <w:rPr>
                <w:lang w:val="it-IT"/>
              </w:rPr>
              <w:t>euro 15,49 nel caso di rimborso delle spese di vitto e alloggio, ovvero di vitto ed alloggio forniti gratuitamente;</w:t>
            </w:r>
          </w:p>
          <w:p w:rsidR="007912C2" w:rsidRPr="007912C2" w:rsidRDefault="007912C2" w:rsidP="007912C2">
            <w:pPr>
              <w:pStyle w:val="Paragrafoelenco"/>
              <w:spacing w:after="0" w:afterAutospacing="0" w:line="276" w:lineRule="auto"/>
              <w:ind w:hanging="360"/>
              <w:jc w:val="both"/>
              <w:rPr>
                <w:lang w:val="it-IT"/>
              </w:rPr>
            </w:pPr>
            <w:r>
              <w:rPr>
                <w:rFonts w:ascii="Symbol" w:hAnsi="Symbol"/>
              </w:rPr>
              <w:t></w:t>
            </w:r>
            <w:r w:rsidRPr="007912C2">
              <w:rPr>
                <w:sz w:val="14"/>
                <w:szCs w:val="14"/>
                <w:lang w:val="it-IT"/>
              </w:rPr>
              <w:t xml:space="preserve">         </w:t>
            </w:r>
            <w:r w:rsidRPr="007912C2">
              <w:rPr>
                <w:lang w:val="it-IT"/>
              </w:rPr>
              <w:t>euro 30,99 in caso di rimborso delle spese di alloggio o di vitto, ovvero di vitto o alloggio forniti gratuitamente;</w:t>
            </w:r>
          </w:p>
          <w:p w:rsidR="007912C2" w:rsidRPr="007912C2" w:rsidRDefault="007912C2" w:rsidP="007912C2">
            <w:pPr>
              <w:pStyle w:val="Paragrafoelenco"/>
              <w:spacing w:after="0" w:afterAutospacing="0" w:line="276" w:lineRule="auto"/>
              <w:ind w:hanging="360"/>
              <w:jc w:val="both"/>
              <w:rPr>
                <w:lang w:val="it-IT"/>
              </w:rPr>
            </w:pPr>
            <w:r>
              <w:rPr>
                <w:rFonts w:ascii="Symbol" w:hAnsi="Symbol"/>
              </w:rPr>
              <w:t></w:t>
            </w:r>
            <w:r w:rsidRPr="007912C2">
              <w:rPr>
                <w:sz w:val="14"/>
                <w:szCs w:val="14"/>
                <w:lang w:val="it-IT"/>
              </w:rPr>
              <w:t xml:space="preserve">         </w:t>
            </w:r>
            <w:r w:rsidRPr="007912C2">
              <w:rPr>
                <w:lang w:val="it-IT"/>
              </w:rPr>
              <w:t xml:space="preserve">euro 46.48 senza rimborso delle spese di vitto e alloggio. </w:t>
            </w:r>
          </w:p>
          <w:p w:rsidR="007912C2" w:rsidRPr="007912C2" w:rsidRDefault="007912C2" w:rsidP="007912C2">
            <w:pPr>
              <w:pStyle w:val="Paragrafoelenco"/>
              <w:spacing w:before="0" w:beforeAutospacing="0" w:after="0" w:afterAutospacing="0" w:line="276" w:lineRule="auto"/>
              <w:ind w:left="142"/>
              <w:jc w:val="both"/>
              <w:rPr>
                <w:lang w:val="it-IT"/>
              </w:rPr>
            </w:pPr>
            <w:r w:rsidRPr="007912C2">
              <w:rPr>
                <w:lang w:val="it-IT"/>
              </w:rPr>
              <w:t> </w:t>
            </w:r>
          </w:p>
          <w:p w:rsidR="007912C2" w:rsidRPr="007912C2" w:rsidRDefault="007912C2" w:rsidP="007912C2">
            <w:pPr>
              <w:pStyle w:val="Paragrafoelenco"/>
              <w:spacing w:before="0" w:beforeAutospacing="0" w:after="0" w:afterAutospacing="0" w:line="276" w:lineRule="auto"/>
              <w:ind w:left="142"/>
              <w:jc w:val="both"/>
              <w:rPr>
                <w:lang w:val="it-IT"/>
              </w:rPr>
            </w:pPr>
            <w:r w:rsidRPr="007912C2">
              <w:rPr>
                <w:lang w:val="it-IT"/>
              </w:rPr>
              <w:t>Nel caso in cui il servizio si svolga all’interno del territorio comunale, l’indennità corrisposta concorre integralmente a formare la base imponibile fiscale e previdenziale.</w:t>
            </w:r>
          </w:p>
          <w:p w:rsidR="007912C2" w:rsidRPr="007912C2" w:rsidRDefault="007912C2" w:rsidP="007912C2">
            <w:pPr>
              <w:pStyle w:val="Paragrafoelenco"/>
              <w:spacing w:before="0" w:beforeAutospacing="0" w:after="0" w:afterAutospacing="0" w:line="276" w:lineRule="auto"/>
              <w:ind w:left="142"/>
              <w:jc w:val="both"/>
              <w:rPr>
                <w:lang w:val="it-IT"/>
              </w:rPr>
            </w:pPr>
            <w:r w:rsidRPr="007912C2">
              <w:rPr>
                <w:lang w:val="it-IT"/>
              </w:rPr>
              <w:t> </w:t>
            </w:r>
          </w:p>
          <w:p w:rsidR="007912C2" w:rsidRPr="007912C2" w:rsidRDefault="007912C2" w:rsidP="007912C2">
            <w:pPr>
              <w:pStyle w:val="Titolo2"/>
              <w:rPr>
                <w:lang w:val="it-IT"/>
              </w:rPr>
            </w:pPr>
            <w:bookmarkStart w:id="11" w:name="_Toc4422784"/>
            <w:r w:rsidRPr="007912C2">
              <w:rPr>
                <w:lang w:val="it-IT"/>
              </w:rPr>
              <w:t>1.6 Indennità supplementare di fuori sede (art.10, comma 4, L. 78/1983)</w:t>
            </w:r>
            <w:bookmarkEnd w:id="11"/>
          </w:p>
          <w:p w:rsidR="007912C2" w:rsidRPr="007912C2" w:rsidRDefault="007912C2" w:rsidP="007912C2">
            <w:pPr>
              <w:spacing w:before="100" w:beforeAutospacing="1" w:line="276" w:lineRule="auto"/>
              <w:jc w:val="both"/>
              <w:rPr>
                <w:lang w:val="it-IT"/>
              </w:rPr>
            </w:pPr>
            <w:r w:rsidRPr="007912C2">
              <w:rPr>
                <w:lang w:val="it-IT"/>
              </w:rPr>
              <w:t>L’indennità, nella misura di un trentesimo del 180% dell’indennità operativa di base correlata al grado rivestito e all’anzianità di servizio, è corrisposta al personale militare imbarcato su navi in armamento (o in allestimento) nei giorni di navigazione (</w:t>
            </w:r>
            <w:r w:rsidRPr="007912C2">
              <w:rPr>
                <w:u w:val="single"/>
                <w:lang w:val="it-IT"/>
              </w:rPr>
              <w:t>quindi giornaliera</w:t>
            </w:r>
            <w:r w:rsidRPr="007912C2">
              <w:rPr>
                <w:lang w:val="it-IT"/>
              </w:rPr>
              <w:t>), purché di durata non inferiore ad otto ore continuative.  </w:t>
            </w:r>
          </w:p>
          <w:p w:rsidR="007912C2" w:rsidRPr="007912C2" w:rsidRDefault="007912C2" w:rsidP="007912C2">
            <w:pPr>
              <w:spacing w:before="100" w:beforeAutospacing="1" w:line="276" w:lineRule="auto"/>
              <w:jc w:val="both"/>
              <w:rPr>
                <w:lang w:val="it-IT"/>
              </w:rPr>
            </w:pPr>
            <w:r w:rsidRPr="007912C2">
              <w:rPr>
                <w:lang w:val="it-IT"/>
              </w:rPr>
              <w:t>Al personale volontario in ferma prefissata (VFP) spetta in misura fissa (€ 44,62 mensili per il personale di truppa VFP 1 e VFP 4 ed € 66,92 per i VFP 4 in rafferma biennale).</w:t>
            </w:r>
          </w:p>
          <w:p w:rsidR="007912C2" w:rsidRPr="007912C2" w:rsidRDefault="007912C2" w:rsidP="007912C2">
            <w:pPr>
              <w:spacing w:before="100" w:beforeAutospacing="1" w:line="276" w:lineRule="auto"/>
              <w:jc w:val="both"/>
              <w:rPr>
                <w:lang w:val="it-IT"/>
              </w:rPr>
            </w:pPr>
            <w:r w:rsidRPr="007912C2">
              <w:rPr>
                <w:lang w:val="it-IT"/>
              </w:rPr>
              <w:lastRenderedPageBreak/>
              <w:t>L’indennità, è sottoposta a ritenute fiscali e previdenziali nella misura del 50%.</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pStyle w:val="Titolo2"/>
              <w:rPr>
                <w:lang w:val="it-IT"/>
              </w:rPr>
            </w:pPr>
            <w:bookmarkStart w:id="12" w:name="_Toc4422785"/>
            <w:r w:rsidRPr="007912C2">
              <w:rPr>
                <w:lang w:val="it-IT"/>
              </w:rPr>
              <w:t>1.7 Aumenti dell’indennità d’impiego operativo fondamentale d’imbarco e dell’indennità operativa supplementare di comando navale (art.17, L. 78/1983)</w:t>
            </w:r>
            <w:bookmarkEnd w:id="12"/>
          </w:p>
          <w:p w:rsidR="007912C2" w:rsidRPr="007912C2" w:rsidRDefault="007912C2" w:rsidP="007912C2">
            <w:pPr>
              <w:pStyle w:val="Testonormale"/>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Le indennità in titolo, ai sensi di quanto previsto dall’art. 17 della legge 78/1983 e dall’art. 5 del regolamento sugli assegni di imbarco approvato con Regio Decreto 15 luglio 1938, numero 1156, e successive modificazioni, sono aumentate come segue:</w:t>
            </w:r>
          </w:p>
          <w:p w:rsidR="007912C2" w:rsidRPr="007912C2" w:rsidRDefault="007912C2" w:rsidP="007912C2">
            <w:pPr>
              <w:pStyle w:val="Paragrafoelenco"/>
              <w:spacing w:after="0" w:afterAutospacing="0" w:line="276" w:lineRule="auto"/>
              <w:ind w:hanging="360"/>
              <w:jc w:val="both"/>
              <w:rPr>
                <w:lang w:val="it-IT"/>
              </w:rPr>
            </w:pPr>
            <w:r>
              <w:rPr>
                <w:rFonts w:ascii="Symbol" w:hAnsi="Symbol"/>
              </w:rPr>
              <w:t></w:t>
            </w:r>
            <w:r w:rsidRPr="007912C2">
              <w:rPr>
                <w:sz w:val="14"/>
                <w:szCs w:val="14"/>
                <w:lang w:val="it-IT"/>
              </w:rPr>
              <w:t xml:space="preserve">        </w:t>
            </w:r>
            <w:r w:rsidRPr="007912C2">
              <w:rPr>
                <w:lang w:val="it-IT"/>
              </w:rPr>
              <w:t>50 per cento in più quando la nave si trovi nelle colonie fuori del Mediterraneo, o all'estero nel Mediterraneo od in paesi fuori del Mediterraneo ma appartenenti geograficamente all'Europa;</w:t>
            </w:r>
          </w:p>
          <w:p w:rsidR="007912C2" w:rsidRPr="007912C2" w:rsidRDefault="007912C2" w:rsidP="007912C2">
            <w:pPr>
              <w:pStyle w:val="Paragrafoelenco"/>
              <w:spacing w:after="0" w:afterAutospacing="0" w:line="276" w:lineRule="auto"/>
              <w:ind w:hanging="360"/>
              <w:jc w:val="both"/>
              <w:rPr>
                <w:lang w:val="it-IT"/>
              </w:rPr>
            </w:pPr>
            <w:r>
              <w:rPr>
                <w:rFonts w:ascii="Symbol" w:hAnsi="Symbol"/>
              </w:rPr>
              <w:t></w:t>
            </w:r>
            <w:r w:rsidRPr="007912C2">
              <w:rPr>
                <w:sz w:val="14"/>
                <w:szCs w:val="14"/>
                <w:lang w:val="it-IT"/>
              </w:rPr>
              <w:t xml:space="preserve">        </w:t>
            </w:r>
            <w:r w:rsidRPr="007912C2">
              <w:rPr>
                <w:lang w:val="it-IT"/>
              </w:rPr>
              <w:t>100 per cento in più quando la nave si trovi all'estero fuori del Mediterraneo in paesi non appartenenti  geograficamente all'Europa.</w:t>
            </w:r>
          </w:p>
          <w:p w:rsidR="007912C2" w:rsidRPr="007912C2" w:rsidRDefault="007912C2" w:rsidP="007912C2">
            <w:pPr>
              <w:pStyle w:val="Paragrafoelenco"/>
              <w:spacing w:after="0" w:afterAutospacing="0" w:line="276" w:lineRule="auto"/>
              <w:jc w:val="both"/>
              <w:rPr>
                <w:lang w:val="it-IT"/>
              </w:rPr>
            </w:pPr>
            <w:r w:rsidRPr="007912C2">
              <w:rPr>
                <w:lang w:val="it-IT"/>
              </w:rPr>
              <w:t> </w:t>
            </w:r>
          </w:p>
          <w:p w:rsidR="007912C2" w:rsidRPr="007912C2" w:rsidRDefault="007912C2" w:rsidP="007912C2">
            <w:pPr>
              <w:pStyle w:val="Titolo2"/>
              <w:spacing w:before="40" w:beforeAutospacing="0" w:after="120" w:afterAutospacing="0"/>
              <w:ind w:left="426" w:hanging="426"/>
              <w:rPr>
                <w:lang w:val="it-IT"/>
              </w:rPr>
            </w:pPr>
            <w:bookmarkStart w:id="13" w:name="_Toc4422786"/>
            <w:r w:rsidRPr="007912C2">
              <w:rPr>
                <w:lang w:val="it-IT"/>
              </w:rPr>
              <w:t>1.8 Istituto del trascinamento delle indennità operative</w:t>
            </w:r>
            <w:bookmarkEnd w:id="13"/>
          </w:p>
          <w:p w:rsidR="007912C2" w:rsidRPr="007912C2" w:rsidRDefault="007912C2" w:rsidP="007912C2">
            <w:pPr>
              <w:spacing w:before="100" w:beforeAutospacing="1" w:line="276" w:lineRule="auto"/>
              <w:jc w:val="both"/>
              <w:rPr>
                <w:lang w:val="it-IT"/>
              </w:rPr>
            </w:pPr>
            <w:r w:rsidRPr="007912C2">
              <w:rPr>
                <w:lang w:val="it-IT"/>
              </w:rPr>
              <w:t>Il personale che durante la propria carriera abbia prestato servizio in condizioni di impiego con diritto alla percezione di un’indennità operativa fondamentale diversa da quella di base, ha diritto ad una maggiorazione percentuale delle misure di quest’ultima per ogni anno di servizio effettivo prestato con diritto alla percezione di ciascuna indennità fondamentale e per un periodo massimo complessivo di 20 anni. Tale maggiorazione, definita “</w:t>
            </w:r>
            <w:r w:rsidRPr="007912C2">
              <w:rPr>
                <w:i/>
                <w:iCs/>
                <w:lang w:val="it-IT"/>
              </w:rPr>
              <w:t>trascinamento</w:t>
            </w:r>
            <w:r w:rsidRPr="007912C2">
              <w:rPr>
                <w:lang w:val="it-IT"/>
              </w:rPr>
              <w:t>” è pari, per tutte le operative fondamentali, ad un ventesimo (1/20) della loro differenza percentuale con l’indennità operativa di base.</w:t>
            </w:r>
          </w:p>
          <w:p w:rsidR="007912C2" w:rsidRPr="007912C2" w:rsidRDefault="007912C2" w:rsidP="007912C2">
            <w:pPr>
              <w:spacing w:before="100" w:beforeAutospacing="1" w:line="276" w:lineRule="auto"/>
              <w:jc w:val="right"/>
              <w:rPr>
                <w:lang w:val="it-IT"/>
              </w:rPr>
            </w:pPr>
            <w:r w:rsidRPr="007912C2">
              <w:rPr>
                <w:i/>
                <w:iCs/>
                <w:sz w:val="20"/>
                <w:szCs w:val="20"/>
                <w:lang w:val="it-IT"/>
              </w:rPr>
              <w:t> </w:t>
            </w:r>
          </w:p>
          <w:p w:rsidR="007912C2" w:rsidRPr="007912C2" w:rsidRDefault="007912C2" w:rsidP="007912C2">
            <w:pPr>
              <w:spacing w:before="100" w:beforeAutospacing="1" w:line="276" w:lineRule="auto"/>
              <w:jc w:val="right"/>
              <w:rPr>
                <w:lang w:val="it-IT"/>
              </w:rPr>
            </w:pPr>
            <w:r w:rsidRPr="007912C2">
              <w:rPr>
                <w:i/>
                <w:iCs/>
                <w:sz w:val="20"/>
                <w:szCs w:val="20"/>
                <w:lang w:val="it-IT"/>
              </w:rPr>
              <w:t> </w:t>
            </w:r>
          </w:p>
          <w:p w:rsidR="007912C2" w:rsidRPr="007912C2" w:rsidRDefault="007912C2" w:rsidP="007912C2">
            <w:pPr>
              <w:spacing w:before="100" w:beforeAutospacing="1" w:line="276" w:lineRule="auto"/>
              <w:jc w:val="right"/>
              <w:rPr>
                <w:lang w:val="it-IT"/>
              </w:rPr>
            </w:pPr>
            <w:r w:rsidRPr="007912C2">
              <w:rPr>
                <w:i/>
                <w:iCs/>
                <w:sz w:val="20"/>
                <w:szCs w:val="20"/>
                <w:lang w:val="it-IT"/>
              </w:rPr>
              <w:t> </w:t>
            </w:r>
          </w:p>
          <w:p w:rsidR="007912C2" w:rsidRPr="007912C2" w:rsidRDefault="007912C2" w:rsidP="007912C2">
            <w:pPr>
              <w:spacing w:before="100" w:beforeAutospacing="1" w:line="276" w:lineRule="auto"/>
              <w:jc w:val="right"/>
              <w:rPr>
                <w:lang w:val="it-IT"/>
              </w:rPr>
            </w:pPr>
            <w:r w:rsidRPr="007912C2">
              <w:rPr>
                <w:i/>
                <w:iCs/>
                <w:sz w:val="20"/>
                <w:szCs w:val="20"/>
                <w:lang w:val="it-IT"/>
              </w:rPr>
              <w:t>Tabella 1 - Esempi di “trascinamento” indennità fondamentali:</w:t>
            </w:r>
          </w:p>
          <w:tbl>
            <w:tblPr>
              <w:tblW w:w="0" w:type="dxa"/>
              <w:tblLayout w:type="fixed"/>
              <w:tblCellMar>
                <w:left w:w="0" w:type="dxa"/>
                <w:right w:w="0" w:type="dxa"/>
              </w:tblCellMar>
              <w:tblLook w:val="04A0" w:firstRow="1" w:lastRow="0" w:firstColumn="1" w:lastColumn="0" w:noHBand="0" w:noVBand="1"/>
            </w:tblPr>
            <w:tblGrid>
              <w:gridCol w:w="2405"/>
              <w:gridCol w:w="1990"/>
              <w:gridCol w:w="1842"/>
              <w:gridCol w:w="1560"/>
              <w:gridCol w:w="1842"/>
            </w:tblGrid>
            <w:tr w:rsidR="007912C2" w:rsidTr="007912C2">
              <w:trPr>
                <w:trHeight w:val="856"/>
              </w:trPr>
              <w:tc>
                <w:tcPr>
                  <w:tcW w:w="2405" w:type="dxa"/>
                  <w:tcBorders>
                    <w:top w:val="nil"/>
                    <w:left w:val="nil"/>
                    <w:bottom w:val="nil"/>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w:t>
                  </w:r>
                </w:p>
              </w:tc>
              <w:tc>
                <w:tcPr>
                  <w:tcW w:w="1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w:t>
                  </w:r>
                </w:p>
                <w:p w:rsidR="007912C2" w:rsidRDefault="007912C2" w:rsidP="007912C2">
                  <w:pPr>
                    <w:spacing w:before="100" w:beforeAutospacing="1"/>
                    <w:jc w:val="center"/>
                  </w:pPr>
                  <w:r>
                    <w:lastRenderedPageBreak/>
                    <w:t>INDENNITA’ OPERATIVA FONDAMENTALE</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lastRenderedPageBreak/>
                    <w:t>%</w:t>
                  </w:r>
                </w:p>
                <w:p w:rsidR="007912C2" w:rsidRDefault="007912C2" w:rsidP="007912C2">
                  <w:pPr>
                    <w:spacing w:before="100" w:beforeAutospacing="1"/>
                    <w:jc w:val="center"/>
                  </w:pPr>
                  <w:r>
                    <w:lastRenderedPageBreak/>
                    <w:t>INDENNITA’ OPERATIVA DI BASE</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lastRenderedPageBreak/>
                    <w:t>%</w:t>
                  </w:r>
                </w:p>
                <w:p w:rsidR="007912C2" w:rsidRDefault="007912C2" w:rsidP="007912C2">
                  <w:pPr>
                    <w:spacing w:before="100" w:beforeAutospacing="1"/>
                    <w:jc w:val="center"/>
                  </w:pPr>
                  <w:r>
                    <w:t>DIFFERENZA</w:t>
                  </w:r>
                </w:p>
                <w:p w:rsidR="007912C2" w:rsidRDefault="007912C2" w:rsidP="007912C2">
                  <w:pPr>
                    <w:spacing w:before="100" w:beforeAutospacing="1"/>
                    <w:jc w:val="center"/>
                  </w:pPr>
                  <w:r>
                    <w:lastRenderedPageBreak/>
                    <w:t> </w:t>
                  </w:r>
                </w:p>
                <w:p w:rsidR="007912C2" w:rsidRDefault="007912C2" w:rsidP="007912C2">
                  <w:pPr>
                    <w:spacing w:before="100" w:beforeAutospacing="1"/>
                    <w:jc w:val="center"/>
                  </w:pPr>
                  <w:r>
                    <w:t> </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lastRenderedPageBreak/>
                    <w:t xml:space="preserve">% </w:t>
                  </w:r>
                </w:p>
                <w:p w:rsidR="007912C2" w:rsidRDefault="007912C2" w:rsidP="007912C2">
                  <w:pPr>
                    <w:spacing w:before="100" w:beforeAutospacing="1"/>
                    <w:jc w:val="center"/>
                  </w:pPr>
                  <w:r>
                    <w:t>ANNUA DI TRASCINAMENTO</w:t>
                  </w:r>
                </w:p>
                <w:p w:rsidR="007912C2" w:rsidRDefault="007912C2" w:rsidP="007912C2">
                  <w:pPr>
                    <w:spacing w:before="100" w:beforeAutospacing="1"/>
                    <w:jc w:val="center"/>
                  </w:pPr>
                  <w:r>
                    <w:lastRenderedPageBreak/>
                    <w:t> </w:t>
                  </w:r>
                </w:p>
              </w:tc>
            </w:tr>
            <w:tr w:rsidR="007912C2" w:rsidTr="007912C2">
              <w:trPr>
                <w:trHeight w:val="323"/>
              </w:trPr>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lastRenderedPageBreak/>
                    <w:t> </w:t>
                  </w:r>
                </w:p>
              </w:tc>
              <w:tc>
                <w:tcPr>
                  <w:tcW w:w="1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b</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xml:space="preserve">c = a – b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xml:space="preserve">d = c x 1/20  </w:t>
                  </w:r>
                </w:p>
              </w:tc>
            </w:tr>
            <w:tr w:rsidR="007912C2" w:rsidTr="007912C2">
              <w:trPr>
                <w:trHeight w:val="464"/>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IND. SUPERCAMPAGNA</w:t>
                  </w:r>
                </w:p>
              </w:tc>
              <w:tc>
                <w:tcPr>
                  <w:tcW w:w="1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150%</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50%</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2.50%</w:t>
                  </w:r>
                </w:p>
              </w:tc>
            </w:tr>
            <w:tr w:rsidR="007912C2" w:rsidTr="007912C2">
              <w:trPr>
                <w:trHeight w:val="414"/>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IND. IMBARCO</w:t>
                  </w:r>
                </w:p>
              </w:tc>
              <w:tc>
                <w:tcPr>
                  <w:tcW w:w="1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183%</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83%</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4.15%</w:t>
                  </w:r>
                </w:p>
              </w:tc>
            </w:tr>
          </w:tbl>
          <w:p w:rsidR="007912C2" w:rsidRPr="007912C2" w:rsidRDefault="007912C2" w:rsidP="007912C2">
            <w:pPr>
              <w:spacing w:before="100" w:beforeAutospacing="1" w:line="276" w:lineRule="auto"/>
              <w:ind w:firstLine="426"/>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In caso di passaggio ad altra condizione di impiego operativa, tra quelle che danno diritto alla percezione di un’indennità fondamentale, all’amministrato compete la nuova indennità ovvero, qualora più favorevole, l’indennità operativa di base con le maggiorazioni maturate a titolo di trascinamento. (N.B.: il trascinamento è attribuito esclusivamente al personale percettore dell’indennità operativa di base).</w:t>
            </w:r>
          </w:p>
          <w:p w:rsidR="007912C2" w:rsidRPr="007912C2" w:rsidRDefault="007912C2" w:rsidP="007912C2">
            <w:pPr>
              <w:spacing w:before="100" w:beforeAutospacing="1" w:line="276" w:lineRule="auto"/>
              <w:jc w:val="both"/>
              <w:rPr>
                <w:lang w:val="it-IT"/>
              </w:rPr>
            </w:pPr>
            <w:r w:rsidRPr="007912C2">
              <w:rPr>
                <w:lang w:val="it-IT"/>
              </w:rPr>
              <w:t xml:space="preserve">Ai fini del trattamento economico più favorevole da determinare all’atto del passaggio da una ad altra condizione di impiego, occorre valutare anche le eventuali differenti fiscalità delle indennità in questione, (es. aeronavigazione, volo, imbarco, “Fuori Area”, esenti al 50% quindi, al fine di determinare la condizione più favorevole, è necessario fare il confronto tenendo in considerazione il particolare regime di esenzione – esempio in </w:t>
            </w:r>
            <w:r w:rsidRPr="007912C2">
              <w:rPr>
                <w:b/>
                <w:bCs/>
                <w:u w:val="single"/>
                <w:lang w:val="it-IT"/>
              </w:rPr>
              <w:t>allegato F</w:t>
            </w:r>
            <w:r w:rsidRPr="007912C2">
              <w:rPr>
                <w:lang w:val="it-IT"/>
              </w:rPr>
              <w:t xml:space="preserve">). </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 xml:space="preserve">Il servizio prestato nella nuova condizione di impiego è, inoltre, utile alla maturazione di ulteriori maggiorazioni. La quota di trascinamento è, quindi, aggiornata </w:t>
            </w:r>
            <w:r w:rsidRPr="007912C2">
              <w:rPr>
                <w:i/>
                <w:iCs/>
                <w:lang w:val="it-IT"/>
              </w:rPr>
              <w:t>dinamicamente</w:t>
            </w:r>
            <w:r w:rsidRPr="007912C2">
              <w:rPr>
                <w:lang w:val="it-IT"/>
              </w:rPr>
              <w:t xml:space="preserve"> in funzione dell’operativa spettante nella nuova condizione di impiego, fermo restando il limite massimo di 20 anni; ne consegue che al personale, già percettore del trascinamento in quanto più favorevole all’atto della modifica di impiego, devono essere aggiornate le percentuali spettanti sia per la maturazione dei periodi successivi sia per quelli già in godimento. In particolare, si precisa che il computo deve essere riferito all’anno e le frazioni di anno, anche correlate a servizi prestati in condizioni operative diverse, possono cumularsi tra loro.</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p>
          <w:p w:rsidR="007912C2" w:rsidRPr="007912C2" w:rsidRDefault="007912C2" w:rsidP="007912C2">
            <w:pPr>
              <w:pStyle w:val="Paragrafoelenco"/>
              <w:spacing w:before="0" w:beforeAutospacing="0" w:after="0" w:afterAutospacing="0" w:line="276" w:lineRule="auto"/>
              <w:jc w:val="both"/>
              <w:rPr>
                <w:lang w:val="it-IT"/>
              </w:rPr>
            </w:pPr>
            <w:r w:rsidRPr="007912C2">
              <w:rPr>
                <w:i/>
                <w:iCs/>
                <w:sz w:val="20"/>
                <w:szCs w:val="20"/>
                <w:lang w:val="it-IT"/>
              </w:rPr>
              <w:t xml:space="preserve">Tabella 2. Esempio di calcolo di </w:t>
            </w:r>
            <w:r w:rsidRPr="007912C2">
              <w:rPr>
                <w:i/>
                <w:iCs/>
                <w:sz w:val="20"/>
                <w:szCs w:val="20"/>
                <w:u w:val="single"/>
                <w:lang w:val="it-IT"/>
              </w:rPr>
              <w:t>trascinamento dinamico</w:t>
            </w:r>
            <w:r w:rsidRPr="007912C2">
              <w:rPr>
                <w:i/>
                <w:iCs/>
                <w:sz w:val="20"/>
                <w:szCs w:val="20"/>
                <w:lang w:val="it-IT"/>
              </w:rPr>
              <w:t xml:space="preserve"> dei periodi operativi di un militare in servizio in un ente di campagna  </w:t>
            </w:r>
          </w:p>
          <w:p w:rsidR="007912C2" w:rsidRPr="007912C2" w:rsidRDefault="007912C2" w:rsidP="007912C2">
            <w:pPr>
              <w:pStyle w:val="Paragrafoelenco"/>
              <w:spacing w:before="0" w:beforeAutospacing="0" w:after="0" w:afterAutospacing="0" w:line="276" w:lineRule="auto"/>
              <w:ind w:left="360"/>
              <w:jc w:val="right"/>
              <w:rPr>
                <w:lang w:val="it-IT"/>
              </w:rPr>
            </w:pPr>
            <w:r w:rsidRPr="007912C2">
              <w:rPr>
                <w:i/>
                <w:iCs/>
                <w:sz w:val="6"/>
                <w:szCs w:val="6"/>
                <w:lang w:val="it-IT"/>
              </w:rPr>
              <w:t> </w:t>
            </w:r>
          </w:p>
          <w:tbl>
            <w:tblPr>
              <w:tblW w:w="10144" w:type="dxa"/>
              <w:tblInd w:w="108" w:type="dxa"/>
              <w:shd w:val="clear" w:color="auto" w:fill="FFFFFF"/>
              <w:tblLayout w:type="fixed"/>
              <w:tblCellMar>
                <w:left w:w="0" w:type="dxa"/>
                <w:right w:w="0" w:type="dxa"/>
              </w:tblCellMar>
              <w:tblLook w:val="04A0" w:firstRow="1" w:lastRow="0" w:firstColumn="1" w:lastColumn="0" w:noHBand="0" w:noVBand="1"/>
            </w:tblPr>
            <w:tblGrid>
              <w:gridCol w:w="1278"/>
              <w:gridCol w:w="1069"/>
              <w:gridCol w:w="625"/>
              <w:gridCol w:w="715"/>
              <w:gridCol w:w="703"/>
              <w:gridCol w:w="729"/>
              <w:gridCol w:w="707"/>
              <w:gridCol w:w="791"/>
              <w:gridCol w:w="1185"/>
              <w:gridCol w:w="1412"/>
              <w:gridCol w:w="930"/>
            </w:tblGrid>
            <w:tr w:rsidR="007912C2" w:rsidTr="007912C2">
              <w:trPr>
                <w:trHeight w:val="315"/>
              </w:trPr>
              <w:tc>
                <w:tcPr>
                  <w:tcW w:w="1278"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c>
                <w:tcPr>
                  <w:tcW w:w="1069"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c>
                <w:tcPr>
                  <w:tcW w:w="2772"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center"/>
                  </w:pPr>
                  <w:r>
                    <w:t>periodi operativi</w:t>
                  </w:r>
                </w:p>
              </w:tc>
              <w:tc>
                <w:tcPr>
                  <w:tcW w:w="707"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 </w:t>
                  </w:r>
                </w:p>
              </w:tc>
              <w:tc>
                <w:tcPr>
                  <w:tcW w:w="79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c>
                <w:tcPr>
                  <w:tcW w:w="11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c>
                <w:tcPr>
                  <w:tcW w:w="1412"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c>
                <w:tcPr>
                  <w:tcW w:w="930"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tc>
            </w:tr>
            <w:tr w:rsidR="007912C2" w:rsidTr="007912C2">
              <w:trPr>
                <w:trHeight w:val="315"/>
              </w:trPr>
              <w:tc>
                <w:tcPr>
                  <w:tcW w:w="127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decorrenza</w:t>
                  </w:r>
                </w:p>
              </w:tc>
              <w:tc>
                <w:tcPr>
                  <w:tcW w:w="106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operativa</w:t>
                  </w:r>
                </w:p>
                <w:p w:rsidR="007912C2" w:rsidRDefault="007912C2" w:rsidP="007912C2">
                  <w:pPr>
                    <w:spacing w:before="100" w:beforeAutospacing="1" w:line="276" w:lineRule="auto"/>
                    <w:jc w:val="both"/>
                  </w:pPr>
                  <w:r>
                    <w:t> di base</w:t>
                  </w:r>
                </w:p>
              </w:tc>
              <w:tc>
                <w:tcPr>
                  <w:tcW w:w="6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tipo</w:t>
                  </w:r>
                </w:p>
              </w:tc>
              <w:tc>
                <w:tcPr>
                  <w:tcW w:w="7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anni</w:t>
                  </w:r>
                </w:p>
              </w:tc>
              <w:tc>
                <w:tcPr>
                  <w:tcW w:w="7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mesi</w:t>
                  </w:r>
                </w:p>
              </w:tc>
              <w:tc>
                <w:tcPr>
                  <w:tcW w:w="7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giorni</w:t>
                  </w:r>
                </w:p>
              </w:tc>
              <w:tc>
                <w:tcPr>
                  <w:tcW w:w="70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 trasc.</w:t>
                  </w:r>
                </w:p>
              </w:tc>
              <w:tc>
                <w:tcPr>
                  <w:tcW w:w="79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tot. % trasc.</w:t>
                  </w:r>
                </w:p>
              </w:tc>
              <w:tc>
                <w:tcPr>
                  <w:tcW w:w="118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tot %</w:t>
                  </w:r>
                </w:p>
                <w:p w:rsidR="007912C2" w:rsidRDefault="007912C2" w:rsidP="007912C2">
                  <w:pPr>
                    <w:spacing w:before="100" w:beforeAutospacing="1" w:line="276" w:lineRule="auto"/>
                    <w:jc w:val="center"/>
                  </w:pPr>
                  <w:r>
                    <w:t>periodi operativi</w:t>
                  </w:r>
                </w:p>
              </w:tc>
              <w:tc>
                <w:tcPr>
                  <w:tcW w:w="141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trascinamento</w:t>
                  </w:r>
                </w:p>
              </w:tc>
              <w:tc>
                <w:tcPr>
                  <w:tcW w:w="9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 xml:space="preserve">base + </w:t>
                  </w:r>
                </w:p>
                <w:p w:rsidR="007912C2" w:rsidRDefault="007912C2" w:rsidP="007912C2">
                  <w:pPr>
                    <w:spacing w:before="100" w:beforeAutospacing="1" w:line="276" w:lineRule="auto"/>
                    <w:jc w:val="center"/>
                  </w:pPr>
                  <w:r>
                    <w:t>trasc.</w:t>
                  </w:r>
                </w:p>
              </w:tc>
            </w:tr>
            <w:tr w:rsidR="007912C2" w:rsidTr="007912C2">
              <w:trPr>
                <w:trHeight w:val="300"/>
              </w:trPr>
              <w:tc>
                <w:tcPr>
                  <w:tcW w:w="1278" w:type="dxa"/>
                  <w:vMerge w:val="restar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01/01/2018</w:t>
                  </w:r>
                </w:p>
              </w:tc>
              <w:tc>
                <w:tcPr>
                  <w:tcW w:w="1069"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640,44</w:t>
                  </w:r>
                </w:p>
              </w:tc>
              <w:tc>
                <w:tcPr>
                  <w:tcW w:w="6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c</w:t>
                  </w:r>
                </w:p>
              </w:tc>
              <w:tc>
                <w:tcPr>
                  <w:tcW w:w="7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15</w:t>
                  </w:r>
                </w:p>
              </w:tc>
              <w:tc>
                <w:tcPr>
                  <w:tcW w:w="7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3</w:t>
                  </w:r>
                </w:p>
              </w:tc>
              <w:tc>
                <w:tcPr>
                  <w:tcW w:w="7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22</w:t>
                  </w:r>
                </w:p>
              </w:tc>
              <w:tc>
                <w:tcPr>
                  <w:tcW w:w="70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1,25</w:t>
                  </w:r>
                </w:p>
              </w:tc>
              <w:tc>
                <w:tcPr>
                  <w:tcW w:w="79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19,12</w:t>
                  </w:r>
                </w:p>
              </w:tc>
              <w:tc>
                <w:tcPr>
                  <w:tcW w:w="1185"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26,12</w:t>
                  </w:r>
                </w:p>
              </w:tc>
              <w:tc>
                <w:tcPr>
                  <w:tcW w:w="1412"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167,29</w:t>
                  </w:r>
                </w:p>
              </w:tc>
              <w:tc>
                <w:tcPr>
                  <w:tcW w:w="930"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807,73</w:t>
                  </w:r>
                </w:p>
              </w:tc>
            </w:tr>
            <w:tr w:rsidR="007912C2" w:rsidTr="007912C2">
              <w:trPr>
                <w:trHeight w:val="315"/>
              </w:trPr>
              <w:tc>
                <w:tcPr>
                  <w:tcW w:w="1310" w:type="dxa"/>
                  <w:vMerge/>
                  <w:tcBorders>
                    <w:top w:val="nil"/>
                    <w:left w:val="single" w:sz="8" w:space="0" w:color="auto"/>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1109"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6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sc</w:t>
                  </w:r>
                </w:p>
              </w:tc>
              <w:tc>
                <w:tcPr>
                  <w:tcW w:w="7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w:t>
                  </w:r>
                </w:p>
              </w:tc>
              <w:tc>
                <w:tcPr>
                  <w:tcW w:w="7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9</w:t>
                  </w:r>
                </w:p>
              </w:tc>
              <w:tc>
                <w:tcPr>
                  <w:tcW w:w="7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18</w:t>
                  </w:r>
                </w:p>
              </w:tc>
              <w:tc>
                <w:tcPr>
                  <w:tcW w:w="70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2,50</w:t>
                  </w:r>
                </w:p>
              </w:tc>
              <w:tc>
                <w:tcPr>
                  <w:tcW w:w="79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7,00</w:t>
                  </w:r>
                </w:p>
              </w:tc>
              <w:tc>
                <w:tcPr>
                  <w:tcW w:w="1185"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1563"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930"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r>
            <w:tr w:rsidR="007912C2" w:rsidTr="007912C2">
              <w:trPr>
                <w:trHeight w:val="300"/>
              </w:trPr>
              <w:tc>
                <w:tcPr>
                  <w:tcW w:w="1278" w:type="dxa"/>
                  <w:vMerge w:val="restar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01/01/2019</w:t>
                  </w:r>
                </w:p>
              </w:tc>
              <w:tc>
                <w:tcPr>
                  <w:tcW w:w="1069"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640,44</w:t>
                  </w:r>
                </w:p>
              </w:tc>
              <w:tc>
                <w:tcPr>
                  <w:tcW w:w="6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c</w:t>
                  </w:r>
                </w:p>
              </w:tc>
              <w:tc>
                <w:tcPr>
                  <w:tcW w:w="7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16</w:t>
                  </w:r>
                </w:p>
              </w:tc>
              <w:tc>
                <w:tcPr>
                  <w:tcW w:w="7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3</w:t>
                  </w:r>
                </w:p>
              </w:tc>
              <w:tc>
                <w:tcPr>
                  <w:tcW w:w="7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22</w:t>
                  </w:r>
                </w:p>
              </w:tc>
              <w:tc>
                <w:tcPr>
                  <w:tcW w:w="70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1,25</w:t>
                  </w:r>
                </w:p>
              </w:tc>
              <w:tc>
                <w:tcPr>
                  <w:tcW w:w="79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20,37</w:t>
                  </w:r>
                </w:p>
              </w:tc>
              <w:tc>
                <w:tcPr>
                  <w:tcW w:w="1185"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27,37</w:t>
                  </w:r>
                </w:p>
              </w:tc>
              <w:tc>
                <w:tcPr>
                  <w:tcW w:w="1412"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175,30</w:t>
                  </w:r>
                </w:p>
              </w:tc>
              <w:tc>
                <w:tcPr>
                  <w:tcW w:w="930"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912C2" w:rsidRDefault="007912C2" w:rsidP="007912C2">
                  <w:pPr>
                    <w:spacing w:before="100" w:beforeAutospacing="1" w:line="276" w:lineRule="auto"/>
                    <w:jc w:val="center"/>
                  </w:pPr>
                  <w:r>
                    <w:t>815,74</w:t>
                  </w:r>
                </w:p>
              </w:tc>
            </w:tr>
            <w:tr w:rsidR="007912C2" w:rsidTr="007912C2">
              <w:trPr>
                <w:trHeight w:val="300"/>
              </w:trPr>
              <w:tc>
                <w:tcPr>
                  <w:tcW w:w="1310" w:type="dxa"/>
                  <w:vMerge/>
                  <w:tcBorders>
                    <w:top w:val="nil"/>
                    <w:left w:val="single" w:sz="8" w:space="0" w:color="auto"/>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1109"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6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sc</w:t>
                  </w:r>
                </w:p>
              </w:tc>
              <w:tc>
                <w:tcPr>
                  <w:tcW w:w="7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w:t>
                  </w:r>
                </w:p>
              </w:tc>
              <w:tc>
                <w:tcPr>
                  <w:tcW w:w="7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9</w:t>
                  </w:r>
                </w:p>
              </w:tc>
              <w:tc>
                <w:tcPr>
                  <w:tcW w:w="7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18</w:t>
                  </w:r>
                </w:p>
              </w:tc>
              <w:tc>
                <w:tcPr>
                  <w:tcW w:w="70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2,50</w:t>
                  </w:r>
                </w:p>
              </w:tc>
              <w:tc>
                <w:tcPr>
                  <w:tcW w:w="79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7912C2" w:rsidRDefault="007912C2" w:rsidP="007912C2">
                  <w:pPr>
                    <w:spacing w:before="100" w:beforeAutospacing="1" w:line="276" w:lineRule="auto"/>
                    <w:jc w:val="both"/>
                  </w:pPr>
                  <w:r>
                    <w:t>7,00</w:t>
                  </w:r>
                </w:p>
              </w:tc>
              <w:tc>
                <w:tcPr>
                  <w:tcW w:w="1185"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1563"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c>
                <w:tcPr>
                  <w:tcW w:w="930" w:type="dxa"/>
                  <w:vMerge/>
                  <w:tcBorders>
                    <w:top w:val="nil"/>
                    <w:left w:val="nil"/>
                    <w:bottom w:val="single" w:sz="8" w:space="0" w:color="auto"/>
                    <w:right w:val="single" w:sz="8" w:space="0" w:color="auto"/>
                  </w:tcBorders>
                  <w:shd w:val="clear" w:color="auto" w:fill="FFFFFF"/>
                  <w:vAlign w:val="center"/>
                  <w:hideMark/>
                </w:tcPr>
                <w:p w:rsidR="007912C2" w:rsidRDefault="007912C2" w:rsidP="007912C2">
                  <w:pPr>
                    <w:rPr>
                      <w:sz w:val="24"/>
                      <w:szCs w:val="24"/>
                    </w:rPr>
                  </w:pPr>
                </w:p>
              </w:tc>
            </w:tr>
          </w:tbl>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p>
          <w:p w:rsidR="007912C2" w:rsidRPr="007912C2" w:rsidRDefault="007912C2" w:rsidP="007912C2">
            <w:pPr>
              <w:spacing w:before="100" w:beforeAutospacing="1" w:line="276" w:lineRule="auto"/>
              <w:jc w:val="both"/>
              <w:rPr>
                <w:lang w:val="it-IT"/>
              </w:rPr>
            </w:pPr>
          </w:p>
          <w:p w:rsidR="007912C2" w:rsidRPr="007912C2" w:rsidRDefault="007912C2" w:rsidP="007912C2">
            <w:pPr>
              <w:spacing w:before="100" w:beforeAutospacing="1" w:line="276" w:lineRule="auto"/>
              <w:jc w:val="both"/>
              <w:rPr>
                <w:lang w:val="it-IT"/>
              </w:rPr>
            </w:pPr>
            <w:r w:rsidRPr="007912C2">
              <w:rPr>
                <w:lang w:val="it-IT"/>
              </w:rPr>
              <w:t>Oltre che per le indennità fondamentali, il meccanismo del trascinamento è inoltre previsto per alcune indennità supplementari connesse al volo e per l’indennità operativa aggiuntiva per stabilimenti militari di pena, di seguito descritte:</w:t>
            </w:r>
          </w:p>
          <w:p w:rsidR="007912C2" w:rsidRPr="007912C2" w:rsidRDefault="007912C2" w:rsidP="007912C2">
            <w:pPr>
              <w:pStyle w:val="Paragrafoelenco"/>
              <w:spacing w:before="0" w:beforeAutospacing="0" w:after="0" w:afterAutospacing="0" w:line="276" w:lineRule="auto"/>
              <w:ind w:left="360" w:hanging="360"/>
              <w:jc w:val="both"/>
              <w:rPr>
                <w:lang w:val="it-IT"/>
              </w:rPr>
            </w:pPr>
            <w:r w:rsidRPr="007912C2">
              <w:rPr>
                <w:lang w:val="it-IT"/>
              </w:rPr>
              <w:t>a)</w:t>
            </w:r>
            <w:r w:rsidRPr="007912C2">
              <w:rPr>
                <w:sz w:val="14"/>
                <w:szCs w:val="14"/>
                <w:lang w:val="it-IT"/>
              </w:rPr>
              <w:t xml:space="preserve">       </w:t>
            </w:r>
            <w:r w:rsidRPr="007912C2">
              <w:rPr>
                <w:lang w:val="it-IT"/>
              </w:rPr>
              <w:t>le indennità supplementari connesse al volo:</w:t>
            </w:r>
          </w:p>
          <w:p w:rsidR="007912C2" w:rsidRPr="007912C2" w:rsidRDefault="007912C2" w:rsidP="007912C2">
            <w:pPr>
              <w:pStyle w:val="Paragrafoelenco"/>
              <w:spacing w:before="0" w:beforeAutospacing="0" w:after="0" w:afterAutospacing="0" w:line="276" w:lineRule="auto"/>
              <w:ind w:left="709" w:hanging="360"/>
              <w:jc w:val="both"/>
              <w:rPr>
                <w:lang w:val="it-IT"/>
              </w:rPr>
            </w:pPr>
            <w:r>
              <w:rPr>
                <w:rFonts w:ascii="Wingdings" w:hAnsi="Wingdings"/>
              </w:rPr>
              <w:t></w:t>
            </w:r>
            <w:r w:rsidRPr="007912C2">
              <w:rPr>
                <w:sz w:val="14"/>
                <w:szCs w:val="14"/>
                <w:lang w:val="it-IT"/>
              </w:rPr>
              <w:t xml:space="preserve">  </w:t>
            </w:r>
            <w:r w:rsidRPr="007912C2">
              <w:rPr>
                <w:lang w:val="it-IT"/>
              </w:rPr>
              <w:t>pronto intervento aereo per piloti e operatori di sistema reparti di caccia;</w:t>
            </w:r>
          </w:p>
          <w:p w:rsidR="007912C2" w:rsidRPr="007912C2" w:rsidRDefault="007912C2" w:rsidP="007912C2">
            <w:pPr>
              <w:pStyle w:val="Paragrafoelenco"/>
              <w:spacing w:before="0" w:beforeAutospacing="0" w:after="0" w:afterAutospacing="0" w:line="276" w:lineRule="auto"/>
              <w:ind w:left="709" w:hanging="360"/>
              <w:jc w:val="both"/>
              <w:rPr>
                <w:lang w:val="it-IT"/>
              </w:rPr>
            </w:pPr>
            <w:r>
              <w:rPr>
                <w:rFonts w:ascii="Wingdings" w:hAnsi="Wingdings"/>
              </w:rPr>
              <w:t></w:t>
            </w:r>
            <w:r w:rsidRPr="007912C2">
              <w:rPr>
                <w:sz w:val="14"/>
                <w:szCs w:val="14"/>
                <w:lang w:val="it-IT"/>
              </w:rPr>
              <w:t xml:space="preserve">  </w:t>
            </w:r>
            <w:r w:rsidRPr="007912C2">
              <w:rPr>
                <w:lang w:val="it-IT"/>
              </w:rPr>
              <w:t>pronto intervento aereo per piloti altri reparti;</w:t>
            </w:r>
          </w:p>
          <w:p w:rsidR="007912C2" w:rsidRPr="007912C2" w:rsidRDefault="007912C2" w:rsidP="007912C2">
            <w:pPr>
              <w:pStyle w:val="Paragrafoelenco"/>
              <w:spacing w:before="0" w:beforeAutospacing="0" w:after="0" w:afterAutospacing="0" w:line="276" w:lineRule="auto"/>
              <w:ind w:left="709" w:hanging="360"/>
              <w:jc w:val="both"/>
              <w:rPr>
                <w:lang w:val="it-IT"/>
              </w:rPr>
            </w:pPr>
            <w:r>
              <w:rPr>
                <w:rFonts w:ascii="Wingdings" w:hAnsi="Wingdings"/>
              </w:rPr>
              <w:t></w:t>
            </w:r>
            <w:r w:rsidRPr="007912C2">
              <w:rPr>
                <w:sz w:val="14"/>
                <w:szCs w:val="14"/>
                <w:lang w:val="it-IT"/>
              </w:rPr>
              <w:t xml:space="preserve">  </w:t>
            </w:r>
            <w:r w:rsidRPr="007912C2">
              <w:rPr>
                <w:lang w:val="it-IT"/>
              </w:rPr>
              <w:t>pronto intervento aereo per equipaggi fissi di volo;</w:t>
            </w:r>
          </w:p>
          <w:p w:rsidR="007912C2" w:rsidRPr="007912C2" w:rsidRDefault="007912C2" w:rsidP="007912C2">
            <w:pPr>
              <w:pStyle w:val="Paragrafoelenco"/>
              <w:spacing w:before="0" w:beforeAutospacing="0" w:after="0" w:afterAutospacing="0" w:line="276" w:lineRule="auto"/>
              <w:ind w:left="709" w:hanging="360"/>
              <w:jc w:val="both"/>
              <w:rPr>
                <w:lang w:val="it-IT"/>
              </w:rPr>
            </w:pPr>
            <w:r>
              <w:rPr>
                <w:rFonts w:ascii="Wingdings" w:hAnsi="Wingdings"/>
              </w:rPr>
              <w:t></w:t>
            </w:r>
            <w:r w:rsidRPr="007912C2">
              <w:rPr>
                <w:sz w:val="14"/>
                <w:szCs w:val="14"/>
                <w:lang w:val="it-IT"/>
              </w:rPr>
              <w:t xml:space="preserve">  </w:t>
            </w:r>
            <w:r w:rsidRPr="007912C2">
              <w:rPr>
                <w:lang w:val="it-IT"/>
              </w:rPr>
              <w:t>piloti collaudatori-sperimentatori;</w:t>
            </w:r>
          </w:p>
          <w:p w:rsidR="007912C2" w:rsidRPr="007912C2" w:rsidRDefault="007912C2" w:rsidP="007912C2">
            <w:pPr>
              <w:pStyle w:val="Paragrafoelenco"/>
              <w:spacing w:before="0" w:beforeAutospacing="0" w:after="0" w:afterAutospacing="0" w:line="276" w:lineRule="auto"/>
              <w:ind w:left="709" w:hanging="360"/>
              <w:jc w:val="both"/>
              <w:rPr>
                <w:lang w:val="it-IT"/>
              </w:rPr>
            </w:pPr>
            <w:r>
              <w:rPr>
                <w:rFonts w:ascii="Wingdings" w:hAnsi="Wingdings"/>
              </w:rPr>
              <w:t></w:t>
            </w:r>
            <w:r w:rsidRPr="007912C2">
              <w:rPr>
                <w:sz w:val="14"/>
                <w:szCs w:val="14"/>
                <w:lang w:val="it-IT"/>
              </w:rPr>
              <w:t xml:space="preserve">  </w:t>
            </w:r>
            <w:r w:rsidRPr="007912C2">
              <w:rPr>
                <w:lang w:val="it-IT"/>
              </w:rPr>
              <w:t>piloti istruttori di volo o di specialità.</w:t>
            </w:r>
          </w:p>
          <w:p w:rsidR="007912C2" w:rsidRPr="007912C2" w:rsidRDefault="007912C2" w:rsidP="007912C2">
            <w:pPr>
              <w:pStyle w:val="Paragrafoelenco"/>
              <w:spacing w:before="0" w:beforeAutospacing="0" w:after="0" w:afterAutospacing="0" w:line="276" w:lineRule="auto"/>
              <w:ind w:left="360"/>
              <w:jc w:val="right"/>
              <w:rPr>
                <w:lang w:val="it-IT"/>
              </w:rPr>
            </w:pPr>
            <w:r w:rsidRPr="007912C2">
              <w:rPr>
                <w:i/>
                <w:iCs/>
                <w:sz w:val="20"/>
                <w:szCs w:val="20"/>
                <w:lang w:val="it-IT"/>
              </w:rPr>
              <w:t>Tabella 2 - Esempi di trascinamento indennità supplementari connesse al volo</w:t>
            </w:r>
          </w:p>
          <w:tbl>
            <w:tblPr>
              <w:tblW w:w="0" w:type="dxa"/>
              <w:jc w:val="center"/>
              <w:tblLayout w:type="fixed"/>
              <w:tblCellMar>
                <w:left w:w="0" w:type="dxa"/>
                <w:right w:w="0" w:type="dxa"/>
              </w:tblCellMar>
              <w:tblLook w:val="04A0" w:firstRow="1" w:lastRow="0" w:firstColumn="1" w:lastColumn="0" w:noHBand="0" w:noVBand="1"/>
            </w:tblPr>
            <w:tblGrid>
              <w:gridCol w:w="4678"/>
              <w:gridCol w:w="2693"/>
              <w:gridCol w:w="2127"/>
            </w:tblGrid>
            <w:tr w:rsidR="007912C2" w:rsidTr="007912C2">
              <w:trPr>
                <w:trHeight w:val="856"/>
                <w:jc w:val="center"/>
              </w:trPr>
              <w:tc>
                <w:tcPr>
                  <w:tcW w:w="4678" w:type="dxa"/>
                  <w:tcBorders>
                    <w:top w:val="nil"/>
                    <w:left w:val="nil"/>
                    <w:bottom w:val="nil"/>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w:t>
                  </w:r>
                </w:p>
                <w:p w:rsidR="007912C2" w:rsidRDefault="007912C2" w:rsidP="007912C2">
                  <w:pPr>
                    <w:spacing w:before="100" w:beforeAutospacing="1"/>
                    <w:jc w:val="center"/>
                  </w:pPr>
                  <w:r>
                    <w:t>INDENNITA’ OPERATIVA SUPPLEMENTARE</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xml:space="preserve">% </w:t>
                  </w:r>
                </w:p>
                <w:p w:rsidR="007912C2" w:rsidRDefault="007912C2" w:rsidP="007912C2">
                  <w:pPr>
                    <w:spacing w:before="100" w:beforeAutospacing="1"/>
                    <w:jc w:val="center"/>
                  </w:pPr>
                  <w:r>
                    <w:t>ANNUA DI TRASCINAMENTO</w:t>
                  </w:r>
                </w:p>
                <w:p w:rsidR="007912C2" w:rsidRDefault="007912C2" w:rsidP="007912C2">
                  <w:pPr>
                    <w:spacing w:before="100" w:beforeAutospacing="1"/>
                    <w:jc w:val="center"/>
                  </w:pPr>
                  <w:r>
                    <w:t> </w:t>
                  </w:r>
                </w:p>
              </w:tc>
            </w:tr>
            <w:tr w:rsidR="007912C2" w:rsidTr="007912C2">
              <w:trPr>
                <w:trHeight w:val="323"/>
                <w:jc w:val="center"/>
              </w:trPr>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a</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xml:space="preserve">b = a x 1/20  </w:t>
                  </w:r>
                </w:p>
              </w:tc>
            </w:tr>
            <w:tr w:rsidR="007912C2" w:rsidTr="007912C2">
              <w:trPr>
                <w:trHeight w:val="464"/>
                <w:jc w:val="center"/>
              </w:trPr>
              <w:tc>
                <w:tcPr>
                  <w:tcW w:w="4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Pronto intervento aereo per equipaggi fissi di volo</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75%</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3,75 %</w:t>
                  </w:r>
                </w:p>
              </w:tc>
            </w:tr>
            <w:tr w:rsidR="007912C2" w:rsidTr="007912C2">
              <w:trPr>
                <w:trHeight w:val="414"/>
                <w:jc w:val="center"/>
              </w:trPr>
              <w:tc>
                <w:tcPr>
                  <w:tcW w:w="4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Piloti istruttori di volo o di specialità</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200%</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10 %</w:t>
                  </w:r>
                </w:p>
              </w:tc>
            </w:tr>
          </w:tbl>
          <w:p w:rsidR="007912C2" w:rsidRPr="007912C2" w:rsidRDefault="007912C2" w:rsidP="007912C2">
            <w:pPr>
              <w:pStyle w:val="Paragrafoelenco"/>
              <w:spacing w:before="0" w:beforeAutospacing="0" w:after="0" w:afterAutospacing="0" w:line="276" w:lineRule="auto"/>
              <w:ind w:left="360"/>
              <w:jc w:val="both"/>
              <w:rPr>
                <w:lang w:val="it-IT"/>
              </w:rPr>
            </w:pPr>
            <w:r w:rsidRPr="007912C2">
              <w:rPr>
                <w:lang w:val="it-IT"/>
              </w:rPr>
              <w:t> </w:t>
            </w:r>
          </w:p>
          <w:p w:rsidR="007912C2" w:rsidRPr="007912C2" w:rsidRDefault="007912C2" w:rsidP="007912C2">
            <w:pPr>
              <w:pStyle w:val="Paragrafoelenco"/>
              <w:spacing w:before="0" w:beforeAutospacing="0" w:after="0" w:afterAutospacing="0" w:line="276" w:lineRule="auto"/>
              <w:ind w:left="360"/>
              <w:jc w:val="both"/>
              <w:rPr>
                <w:lang w:val="it-IT"/>
              </w:rPr>
            </w:pPr>
            <w:r w:rsidRPr="007912C2">
              <w:rPr>
                <w:lang w:val="it-IT"/>
              </w:rPr>
              <w:t> </w:t>
            </w:r>
          </w:p>
          <w:p w:rsidR="007912C2" w:rsidRPr="007912C2" w:rsidRDefault="007912C2" w:rsidP="007912C2">
            <w:pPr>
              <w:pStyle w:val="Paragrafoelenco"/>
              <w:spacing w:before="0" w:beforeAutospacing="0" w:after="0" w:afterAutospacing="0" w:line="276" w:lineRule="auto"/>
              <w:ind w:left="360"/>
              <w:jc w:val="both"/>
              <w:rPr>
                <w:lang w:val="it-IT"/>
              </w:rPr>
            </w:pPr>
            <w:r w:rsidRPr="007912C2">
              <w:rPr>
                <w:lang w:val="it-IT"/>
              </w:rPr>
              <w:t> </w:t>
            </w:r>
          </w:p>
          <w:p w:rsidR="007912C2" w:rsidRPr="007912C2" w:rsidRDefault="007912C2" w:rsidP="007912C2">
            <w:pPr>
              <w:pStyle w:val="Paragrafoelenco"/>
              <w:spacing w:before="0" w:beforeAutospacing="0" w:after="0" w:afterAutospacing="0" w:line="276" w:lineRule="auto"/>
              <w:ind w:left="360"/>
              <w:jc w:val="both"/>
              <w:rPr>
                <w:lang w:val="it-IT"/>
              </w:rPr>
            </w:pPr>
            <w:r w:rsidRPr="007912C2">
              <w:rPr>
                <w:lang w:val="it-IT"/>
              </w:rPr>
              <w:t> </w:t>
            </w:r>
          </w:p>
          <w:p w:rsidR="007912C2" w:rsidRPr="007912C2" w:rsidRDefault="007912C2" w:rsidP="007912C2">
            <w:pPr>
              <w:pStyle w:val="Paragrafoelenco"/>
              <w:spacing w:before="0" w:beforeAutospacing="0" w:after="0" w:afterAutospacing="0" w:line="276" w:lineRule="auto"/>
              <w:ind w:left="360" w:hanging="360"/>
              <w:jc w:val="both"/>
              <w:rPr>
                <w:lang w:val="it-IT"/>
              </w:rPr>
            </w:pPr>
            <w:r w:rsidRPr="007912C2">
              <w:rPr>
                <w:lang w:val="it-IT"/>
              </w:rPr>
              <w:t>b)</w:t>
            </w:r>
            <w:r w:rsidRPr="007912C2">
              <w:rPr>
                <w:sz w:val="14"/>
                <w:szCs w:val="14"/>
                <w:lang w:val="it-IT"/>
              </w:rPr>
              <w:t xml:space="preserve">      </w:t>
            </w:r>
            <w:r w:rsidRPr="007912C2">
              <w:rPr>
                <w:lang w:val="it-IT"/>
              </w:rPr>
              <w:t>l’indennità operativa aggiuntiva per stabilimenti militari di pena.</w:t>
            </w:r>
          </w:p>
          <w:p w:rsidR="007912C2" w:rsidRPr="007912C2" w:rsidRDefault="007912C2" w:rsidP="007912C2">
            <w:pPr>
              <w:spacing w:line="276" w:lineRule="auto"/>
              <w:ind w:left="284"/>
              <w:jc w:val="both"/>
              <w:rPr>
                <w:lang w:val="it-IT"/>
              </w:rPr>
            </w:pPr>
            <w:r w:rsidRPr="007912C2">
              <w:rPr>
                <w:lang w:val="it-IT"/>
              </w:rPr>
              <w:t>Per tali fattispecie il trascinamento è calcolato in ragione di 1/20 dell’importo dell’indennità alla quale si riferisce, per ogni anno di servizio (o frazione) effettivamente prestato con percezione della relativa indennità, fino ad un massimo di 20 anni (</w:t>
            </w:r>
            <w:r w:rsidRPr="007912C2">
              <w:rPr>
                <w:u w:val="single"/>
                <w:lang w:val="it-IT"/>
              </w:rPr>
              <w:t>N.B.:</w:t>
            </w:r>
            <w:r w:rsidRPr="007912C2">
              <w:rPr>
                <w:lang w:val="it-IT"/>
              </w:rPr>
              <w:t xml:space="preserve"> il trascinamento è attribuito ogniqualvolta cessa la percezione dell’indennità trascinata). </w:t>
            </w:r>
          </w:p>
          <w:p w:rsidR="007912C2" w:rsidRPr="007912C2" w:rsidRDefault="007912C2" w:rsidP="007912C2">
            <w:pPr>
              <w:spacing w:line="276" w:lineRule="auto"/>
              <w:ind w:left="284"/>
              <w:jc w:val="both"/>
              <w:rPr>
                <w:lang w:val="it-IT"/>
              </w:rPr>
            </w:pPr>
            <w:r w:rsidRPr="007912C2">
              <w:rPr>
                <w:sz w:val="16"/>
                <w:szCs w:val="16"/>
                <w:lang w:val="it-IT"/>
              </w:rPr>
              <w:t> </w:t>
            </w:r>
          </w:p>
          <w:p w:rsidR="007912C2" w:rsidRPr="007912C2" w:rsidRDefault="007912C2" w:rsidP="007912C2">
            <w:pPr>
              <w:spacing w:before="100" w:beforeAutospacing="1" w:line="276" w:lineRule="auto"/>
              <w:jc w:val="right"/>
              <w:rPr>
                <w:lang w:val="it-IT"/>
              </w:rPr>
            </w:pPr>
            <w:r w:rsidRPr="007912C2">
              <w:rPr>
                <w:i/>
                <w:iCs/>
                <w:lang w:val="it-IT"/>
              </w:rPr>
              <w:lastRenderedPageBreak/>
              <w:t>Tabella 3 - Esempi di trascinamento indennità supplementare per stabilimenti militari di pena</w:t>
            </w:r>
          </w:p>
          <w:tbl>
            <w:tblPr>
              <w:tblW w:w="0" w:type="dxa"/>
              <w:jc w:val="center"/>
              <w:tblLayout w:type="fixed"/>
              <w:tblCellMar>
                <w:left w:w="0" w:type="dxa"/>
                <w:right w:w="0" w:type="dxa"/>
              </w:tblCellMar>
              <w:tblLook w:val="04A0" w:firstRow="1" w:lastRow="0" w:firstColumn="1" w:lastColumn="0" w:noHBand="0" w:noVBand="1"/>
            </w:tblPr>
            <w:tblGrid>
              <w:gridCol w:w="4395"/>
              <w:gridCol w:w="2551"/>
              <w:gridCol w:w="2410"/>
            </w:tblGrid>
            <w:tr w:rsidR="007912C2" w:rsidTr="007912C2">
              <w:trPr>
                <w:trHeight w:val="856"/>
                <w:jc w:val="center"/>
              </w:trPr>
              <w:tc>
                <w:tcPr>
                  <w:tcW w:w="4395" w:type="dxa"/>
                  <w:tcBorders>
                    <w:top w:val="nil"/>
                    <w:left w:val="nil"/>
                    <w:bottom w:val="nil"/>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IMPORTO INDENNITA’ AGGIUNTIVA</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IMPORTO A TITOLO DI TRASCINAMENTO</w:t>
                  </w:r>
                </w:p>
                <w:p w:rsidR="007912C2" w:rsidRDefault="007912C2" w:rsidP="007912C2">
                  <w:pPr>
                    <w:spacing w:before="100" w:beforeAutospacing="1"/>
                    <w:jc w:val="center"/>
                  </w:pPr>
                  <w:r>
                    <w:t> </w:t>
                  </w:r>
                </w:p>
              </w:tc>
            </w:tr>
            <w:tr w:rsidR="007912C2" w:rsidTr="007912C2">
              <w:trPr>
                <w:trHeight w:val="323"/>
                <w:jc w:val="center"/>
              </w:trPr>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a</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 xml:space="preserve">b = a x 1/20  </w:t>
                  </w:r>
                </w:p>
              </w:tc>
            </w:tr>
            <w:tr w:rsidR="007912C2" w:rsidTr="007912C2">
              <w:trPr>
                <w:trHeight w:val="464"/>
                <w:jc w:val="center"/>
              </w:trPr>
              <w:tc>
                <w:tcPr>
                  <w:tcW w:w="43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Capitano</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319,04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15,95</w:t>
                  </w:r>
                </w:p>
              </w:tc>
            </w:tr>
            <w:tr w:rsidR="007912C2" w:rsidTr="007912C2">
              <w:trPr>
                <w:trHeight w:val="414"/>
                <w:jc w:val="center"/>
              </w:trPr>
              <w:tc>
                <w:tcPr>
                  <w:tcW w:w="43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pPr>
                  <w:r>
                    <w:t>Piloti istruttori di volo o di specialità</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266,36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jc w:val="center"/>
                  </w:pPr>
                  <w:r>
                    <w:t>13,32</w:t>
                  </w:r>
                </w:p>
              </w:tc>
            </w:tr>
          </w:tbl>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spacing w:before="100" w:beforeAutospacing="1" w:line="276" w:lineRule="auto"/>
              <w:jc w:val="both"/>
              <w:rPr>
                <w:lang w:val="it-IT"/>
              </w:rPr>
            </w:pPr>
            <w:r w:rsidRPr="007912C2">
              <w:rPr>
                <w:lang w:val="it-IT"/>
              </w:rPr>
              <w:t>A differenza delle indennità operative fondamentali, il trascinamento dell’operativa supplementare e dell’operativa aggiuntiva è cumulabile con la percezione di qualunque altra indennità diversa da quella trascinata. Il trascinamento di una o più delle indennità supplementari connesse al volo non è comunque cumulabile con la percezione di una qualunque di esse.</w:t>
            </w:r>
          </w:p>
          <w:p w:rsidR="007912C2" w:rsidRPr="007912C2" w:rsidRDefault="007912C2" w:rsidP="007912C2">
            <w:pPr>
              <w:spacing w:before="100" w:beforeAutospacing="1" w:line="276" w:lineRule="auto"/>
              <w:jc w:val="both"/>
              <w:rPr>
                <w:lang w:val="it-IT"/>
              </w:rPr>
            </w:pPr>
            <w:r w:rsidRPr="007912C2">
              <w:rPr>
                <w:lang w:val="it-IT"/>
              </w:rPr>
              <w:t>Ogniqualvolta che, per effetto di disposizioni legislative, viene elevata la misura percentuale di maggiorazione dell’indennità, varia di conseguenza la percentuale di trascinamento relativa. Tale nuova misura percentuale si applica, in sostituzione della precedente, anche per i periodi pregressi con diritto alla percezione dell’indennità.</w:t>
            </w:r>
          </w:p>
          <w:p w:rsidR="007912C2" w:rsidRPr="007912C2" w:rsidRDefault="007912C2" w:rsidP="007912C2">
            <w:pPr>
              <w:spacing w:before="100" w:beforeAutospacing="1" w:line="276" w:lineRule="auto"/>
              <w:jc w:val="both"/>
              <w:rPr>
                <w:lang w:val="it-IT"/>
              </w:rPr>
            </w:pPr>
            <w:r w:rsidRPr="007912C2">
              <w:rPr>
                <w:lang w:val="it-IT"/>
              </w:rPr>
              <w:t>In particolare, l’effetto giuridico (percentuale di trascinamento) vale dal primo giorno di diritto al trascinamento mentre l’effetto economico vale solo dalla data di decorrenza indicata sul provvedimento.</w:t>
            </w:r>
          </w:p>
          <w:p w:rsidR="007912C2" w:rsidRPr="007912C2" w:rsidRDefault="007912C2" w:rsidP="007912C2">
            <w:pPr>
              <w:spacing w:before="100" w:beforeAutospacing="1" w:line="276" w:lineRule="auto"/>
              <w:jc w:val="both"/>
              <w:rPr>
                <w:lang w:val="it-IT"/>
              </w:rPr>
            </w:pPr>
            <w:r w:rsidRPr="007912C2">
              <w:rPr>
                <w:lang w:val="it-IT"/>
              </w:rPr>
              <w:t>In considerazione di ciò, a partire dalla data di decorrenza indicata sul provvedimento è necessario effettuare nuovamente i confronti per “</w:t>
            </w:r>
            <w:r w:rsidRPr="007912C2">
              <w:rPr>
                <w:i/>
                <w:iCs/>
                <w:lang w:val="it-IT"/>
              </w:rPr>
              <w:t>l’importo più favorevole</w:t>
            </w:r>
            <w:r w:rsidRPr="007912C2">
              <w:rPr>
                <w:lang w:val="it-IT"/>
              </w:rPr>
              <w:t xml:space="preserve">” tra l’attribuzione del periodo di indennità in luogo della base + il trascinamento con la percentuale aggiornata dal primo giorno di diritto al trascinamento; in ogni caso, a causa del fatto che è elevata la misura percentuale di maggiorazione dell’indennità sarà generato un arretrato a credito sia nel caso di percezione dell’indennità sia nel caso di percezione della base+trascinamento. </w:t>
            </w:r>
          </w:p>
          <w:p w:rsidR="007912C2" w:rsidRPr="007912C2" w:rsidRDefault="007912C2" w:rsidP="007912C2">
            <w:pPr>
              <w:spacing w:before="100" w:beforeAutospacing="1" w:line="276" w:lineRule="auto"/>
              <w:jc w:val="both"/>
              <w:rPr>
                <w:lang w:val="it-IT"/>
              </w:rPr>
            </w:pPr>
            <w:r w:rsidRPr="007912C2">
              <w:rPr>
                <w:lang w:val="it-IT"/>
              </w:rPr>
              <w:t>Esistono  le seguenti specifiche limitazioni:</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la maggiorazione annua relativa al personale in servizio presso reparti di campagna riconosciuti tali dopo l’entrata in vigore della legge 78/1983 compete solo a far data dal riconoscimento quale ente operativo di campagna;</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la maggiorazione annua relativa al personale in servizio presso Enti centrali, territoriali, scolastici e periferici compete dalle date dalle quali l’indennità operativa di campagna è stata estesa ai predetti Enti ovvero dal 1° luglio 2002 per il personale destinatario dei provvedimenti di concertazione e dal 1° gennaio 2004 per i Generali, Colonnelli e personale omogeneizzato;</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la maggiorazione annua relativa al trascinamento dell’indennità di supercampagna compete per i periodi pregressi solo ed esclusivamente nel caso in cui l’ente era già precedentemente riconosciuto quale ente operativo di campagna.</w:t>
            </w:r>
          </w:p>
          <w:p w:rsidR="007912C2" w:rsidRPr="007912C2" w:rsidRDefault="007912C2" w:rsidP="007912C2">
            <w:pPr>
              <w:spacing w:before="100" w:beforeAutospacing="1" w:line="276" w:lineRule="auto"/>
              <w:jc w:val="both"/>
              <w:rPr>
                <w:lang w:val="it-IT"/>
              </w:rPr>
            </w:pPr>
            <w:r w:rsidRPr="007912C2">
              <w:rPr>
                <w:lang w:val="it-IT"/>
              </w:rPr>
              <w:lastRenderedPageBreak/>
              <w:t> </w:t>
            </w:r>
          </w:p>
          <w:p w:rsidR="007912C2" w:rsidRPr="007912C2" w:rsidRDefault="007912C2" w:rsidP="007912C2">
            <w:pPr>
              <w:spacing w:before="100" w:beforeAutospacing="1" w:line="276" w:lineRule="auto"/>
              <w:jc w:val="both"/>
              <w:rPr>
                <w:lang w:val="it-IT"/>
              </w:rPr>
            </w:pPr>
            <w:r w:rsidRPr="007912C2">
              <w:rPr>
                <w:lang w:val="it-IT"/>
              </w:rPr>
              <w:t>A titolo esemplificativo, si riassumo di seguito i criteri generali di applicazione dell’istituto del trascinamento:</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il periodo massimo da poter riconoscere è pari a 20 anni;</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in presenza di più tipologie di indennità operative fondamentali il calcolo deve privilegiare le misure più favorevoli;</w:t>
            </w:r>
          </w:p>
          <w:p w:rsidR="007912C2" w:rsidRPr="007912C2" w:rsidRDefault="007912C2" w:rsidP="007912C2">
            <w:pPr>
              <w:pStyle w:val="Paragrafoelenco"/>
              <w:spacing w:before="0" w:beforeAutospacing="0" w:after="0" w:afterAutospacing="0" w:line="276" w:lineRule="auto"/>
              <w:ind w:left="426" w:hanging="360"/>
              <w:jc w:val="both"/>
              <w:rPr>
                <w:lang w:val="it-IT"/>
              </w:rPr>
            </w:pPr>
            <w:r w:rsidRPr="007912C2">
              <w:rPr>
                <w:lang w:val="it-IT"/>
              </w:rPr>
              <w:t>-</w:t>
            </w:r>
            <w:r w:rsidRPr="007912C2">
              <w:rPr>
                <w:sz w:val="14"/>
                <w:szCs w:val="14"/>
                <w:lang w:val="it-IT"/>
              </w:rPr>
              <w:t xml:space="preserve">          </w:t>
            </w:r>
            <w:r w:rsidRPr="007912C2">
              <w:rPr>
                <w:lang w:val="it-IT"/>
              </w:rPr>
              <w:t>con cadenza annuale si dovrà aggiornare la situazione successiva al passaggio da una ad altra condizione di impiego (la permanenza in un reparto con riconoscimento di una indennità operativa fondamentale comporta la maturazione di un ulteriore anno ai fini del trascinamento, con incremento della relativa percentuale di maggiorazione).</w:t>
            </w:r>
          </w:p>
          <w:p w:rsidR="007912C2" w:rsidRPr="007912C2" w:rsidRDefault="007912C2" w:rsidP="007912C2">
            <w:pPr>
              <w:pStyle w:val="Paragrafoelenco"/>
              <w:spacing w:after="0" w:afterAutospacing="0" w:line="276" w:lineRule="auto"/>
              <w:jc w:val="both"/>
              <w:rPr>
                <w:lang w:val="it-IT"/>
              </w:rPr>
            </w:pPr>
            <w:r w:rsidRPr="007912C2">
              <w:rPr>
                <w:lang w:val="it-IT"/>
              </w:rPr>
              <w:t> </w:t>
            </w:r>
          </w:p>
          <w:p w:rsidR="007912C2" w:rsidRPr="007912C2" w:rsidRDefault="007912C2" w:rsidP="007912C2">
            <w:pPr>
              <w:pStyle w:val="Titolo2"/>
              <w:spacing w:before="40" w:beforeAutospacing="0" w:after="120" w:afterAutospacing="0"/>
              <w:ind w:left="426" w:hanging="426"/>
              <w:rPr>
                <w:lang w:val="it-IT"/>
              </w:rPr>
            </w:pPr>
            <w:bookmarkStart w:id="14" w:name="_Toc4422787"/>
            <w:r w:rsidRPr="007912C2">
              <w:rPr>
                <w:lang w:val="it-IT"/>
              </w:rPr>
              <w:t>1.9 Gestione della tredicesima relativa alle Indennità operative</w:t>
            </w:r>
            <w:bookmarkEnd w:id="14"/>
            <w:r w:rsidRPr="007912C2">
              <w:rPr>
                <w:lang w:val="it-IT"/>
              </w:rPr>
              <w:t xml:space="preserve"> </w:t>
            </w:r>
          </w:p>
          <w:p w:rsidR="007912C2" w:rsidRPr="007912C2" w:rsidRDefault="007912C2" w:rsidP="007912C2">
            <w:pPr>
              <w:spacing w:before="100" w:beforeAutospacing="1" w:line="276" w:lineRule="auto"/>
              <w:jc w:val="both"/>
              <w:rPr>
                <w:lang w:val="it-IT"/>
              </w:rPr>
            </w:pPr>
            <w:r w:rsidRPr="007912C2">
              <w:rPr>
                <w:lang w:val="it-IT"/>
              </w:rPr>
              <w:t>Le indennità operative di base, fondamentali ed il connesso trascinamento concorrono al calcolo del rateo mensile di tredicesima solo se percepite per un periodo superiore a 15 giorni mensili (anche non consecutivi). Diversamente, le indennità operative supplementari e l’eventuale trascinamento non sono computabili nel calcolo della tredicesima mensilità.</w:t>
            </w:r>
          </w:p>
          <w:p w:rsidR="007912C2" w:rsidRPr="007912C2" w:rsidRDefault="007912C2" w:rsidP="007912C2">
            <w:pPr>
              <w:spacing w:before="100" w:beforeAutospacing="1" w:line="276" w:lineRule="auto"/>
              <w:jc w:val="both"/>
              <w:rPr>
                <w:lang w:val="it-IT"/>
              </w:rPr>
            </w:pPr>
            <w:r w:rsidRPr="007912C2">
              <w:rPr>
                <w:lang w:val="it-IT"/>
              </w:rPr>
              <w:t>L’alta variabilità degli impieghi potrebbe determinare mesi in cui nessuna indennità operativa è stata percepita per più di 15 giorni (quindi nessun rateo potrebbe essere attribuito). Per tale motivo, il calcolo dei ratei è effettuato su base annua. In dettaglio, il sistema deve:</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calcolare il numero totale annuo dei giorni di percezione di ciascuna indennità;</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determinare i ratei di tredicesima spettanti per ogni singola indennità, nella misura di 1 rateo ogni 30 giorni di percezione (più un ulteriore rateo se i giorni residui sono pari o superiori a 15). Il valore di riferimento per il calcolo dell’importo dei ratei è quello dell’indennità operativa spettante nel mese di dicembre in relazione al grado/anzianità posseduta.</w:t>
            </w:r>
          </w:p>
          <w:p w:rsidR="007912C2" w:rsidRPr="007912C2" w:rsidRDefault="007912C2" w:rsidP="007912C2">
            <w:pPr>
              <w:pStyle w:val="Paragrafoelenco"/>
              <w:spacing w:before="0" w:beforeAutospacing="0" w:after="0" w:afterAutospacing="0"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se i ratei determinati sono superiori a 12, vengono scartati i ratei di importo minore.</w:t>
            </w:r>
          </w:p>
          <w:p w:rsidR="007912C2" w:rsidRPr="007912C2" w:rsidRDefault="007912C2" w:rsidP="007912C2">
            <w:pPr>
              <w:pStyle w:val="Paragrafoelenco"/>
              <w:spacing w:before="0" w:beforeAutospacing="0" w:after="0" w:afterAutospacing="0" w:line="276" w:lineRule="auto"/>
              <w:jc w:val="both"/>
              <w:rPr>
                <w:lang w:val="it-IT"/>
              </w:rPr>
            </w:pPr>
            <w:r w:rsidRPr="007912C2">
              <w:rPr>
                <w:lang w:val="it-IT"/>
              </w:rPr>
              <w:t>In allegato “G” sono riportati alcuni esempi di procedimento di calcolo delle operative nella tredicesima mensilità, a fronte di varie casistiche di impiego e/o riduzioni applicate nell’anno, ivi comprese le cessazioni dal servizio.</w:t>
            </w:r>
          </w:p>
          <w:p w:rsidR="007912C2" w:rsidRPr="007912C2" w:rsidRDefault="007912C2" w:rsidP="007912C2">
            <w:pPr>
              <w:spacing w:before="100" w:beforeAutospacing="1" w:line="276" w:lineRule="auto"/>
              <w:ind w:firstLine="709"/>
              <w:rPr>
                <w:lang w:val="it-IT"/>
              </w:rPr>
            </w:pPr>
            <w:r w:rsidRPr="007912C2">
              <w:rPr>
                <w:b/>
                <w:bCs/>
                <w:sz w:val="20"/>
                <w:szCs w:val="20"/>
                <w:lang w:val="it-IT"/>
              </w:rPr>
              <w:t> </w:t>
            </w:r>
          </w:p>
          <w:p w:rsidR="007912C2" w:rsidRPr="007912C2" w:rsidRDefault="007912C2" w:rsidP="007912C2">
            <w:pPr>
              <w:pStyle w:val="Titolo2"/>
              <w:spacing w:before="40" w:beforeAutospacing="0" w:after="120" w:afterAutospacing="0"/>
              <w:ind w:left="426" w:hanging="426"/>
              <w:rPr>
                <w:lang w:val="it-IT"/>
              </w:rPr>
            </w:pPr>
            <w:bookmarkStart w:id="15" w:name="_Toc4422788"/>
            <w:r w:rsidRPr="007912C2">
              <w:rPr>
                <w:lang w:val="it-IT"/>
              </w:rPr>
              <w:t>1.10 Sospensione e riduzione</w:t>
            </w:r>
            <w:bookmarkEnd w:id="15"/>
            <w:r w:rsidRPr="007912C2">
              <w:rPr>
                <w:lang w:val="it-IT"/>
              </w:rPr>
              <w:t xml:space="preserve"> </w:t>
            </w:r>
          </w:p>
          <w:p w:rsidR="007912C2" w:rsidRPr="007912C2" w:rsidRDefault="007912C2" w:rsidP="007912C2">
            <w:pPr>
              <w:spacing w:before="100" w:beforeAutospacing="1" w:after="100" w:afterAutospacing="1"/>
              <w:jc w:val="both"/>
              <w:rPr>
                <w:lang w:val="it-IT"/>
              </w:rPr>
            </w:pPr>
            <w:r w:rsidRPr="007912C2">
              <w:rPr>
                <w:lang w:val="it-IT"/>
              </w:rPr>
              <w:t xml:space="preserve">Ai sensi dell’art. 17, commi 6 e 7, della legge 78/1983, le indennità di impiego operativo di base, aeronavigazione e volo vengono sospese o ridotte nei casi e nelle stesse misure di sospensione o riduzione dello stipendio. </w:t>
            </w:r>
          </w:p>
          <w:p w:rsidR="007912C2" w:rsidRPr="007912C2" w:rsidRDefault="007912C2" w:rsidP="007912C2">
            <w:pPr>
              <w:pStyle w:val="style1"/>
              <w:jc w:val="both"/>
              <w:rPr>
                <w:lang w:val="it-IT"/>
              </w:rPr>
            </w:pPr>
            <w:r w:rsidRPr="007912C2">
              <w:rPr>
                <w:rFonts w:ascii="Calibri" w:hAnsi="Calibri"/>
                <w:sz w:val="22"/>
                <w:szCs w:val="22"/>
                <w:lang w:val="it-IT"/>
              </w:rPr>
              <w:t xml:space="preserve">Le altre indennità operative fondamentali e supplementari sono sospese e ridotte nei casi previsti dal comma 8 dell’art. 17 della legge 78/1983, secondo le modalità riepilogati in </w:t>
            </w:r>
            <w:r w:rsidRPr="007912C2">
              <w:rPr>
                <w:rFonts w:ascii="Calibri" w:hAnsi="Calibri"/>
                <w:sz w:val="22"/>
                <w:szCs w:val="22"/>
                <w:u w:val="single"/>
                <w:lang w:val="it-IT"/>
              </w:rPr>
              <w:t>allegato “H”</w:t>
            </w:r>
          </w:p>
          <w:p w:rsidR="007912C2" w:rsidRPr="007912C2" w:rsidRDefault="007912C2" w:rsidP="007912C2">
            <w:pPr>
              <w:pStyle w:val="Titolo2"/>
              <w:spacing w:before="40" w:beforeAutospacing="0" w:after="120" w:afterAutospacing="0"/>
              <w:ind w:left="426" w:hanging="426"/>
              <w:rPr>
                <w:lang w:val="it-IT"/>
              </w:rPr>
            </w:pPr>
            <w:r w:rsidRPr="007912C2">
              <w:rPr>
                <w:lang w:val="it-IT"/>
              </w:rPr>
              <w:lastRenderedPageBreak/>
              <w:t> </w:t>
            </w:r>
          </w:p>
          <w:p w:rsidR="007912C2" w:rsidRPr="007912C2" w:rsidRDefault="007912C2" w:rsidP="007912C2">
            <w:pPr>
              <w:pStyle w:val="Titolo2"/>
              <w:ind w:left="465" w:hanging="465"/>
              <w:outlineLvl w:val="1"/>
              <w:rPr>
                <w:lang w:val="it-IT"/>
              </w:rPr>
            </w:pPr>
            <w:bookmarkStart w:id="16" w:name="_Toc4422789"/>
            <w:r w:rsidRPr="007912C2">
              <w:rPr>
                <w:lang w:val="it-IT"/>
              </w:rPr>
              <w:t>1.11Trattamento delle indennità operative in caso di cessazione dal servizio per decesso</w:t>
            </w:r>
            <w:bookmarkEnd w:id="16"/>
          </w:p>
          <w:p w:rsidR="007912C2" w:rsidRPr="007912C2" w:rsidRDefault="007912C2" w:rsidP="007912C2">
            <w:pPr>
              <w:spacing w:before="100" w:beforeAutospacing="1"/>
              <w:jc w:val="both"/>
              <w:rPr>
                <w:lang w:val="it-IT"/>
              </w:rPr>
            </w:pPr>
            <w:r w:rsidRPr="007912C2">
              <w:rPr>
                <w:lang w:val="it-IT"/>
              </w:rPr>
              <w:t xml:space="preserve">Ai sensi del D.P.R. n. 423/72 art. 4, alla cessazione dal servizio a causa di decesso è necessario calcolare e attribuire il valore economico delle indennità di impiego operativo maturata nel mese del decesso </w:t>
            </w:r>
            <w:r w:rsidRPr="007912C2">
              <w:rPr>
                <w:u w:val="single"/>
                <w:lang w:val="it-IT"/>
              </w:rPr>
              <w:t>in misura intera</w:t>
            </w:r>
            <w:r w:rsidRPr="007912C2">
              <w:rPr>
                <w:lang w:val="it-IT"/>
              </w:rPr>
              <w:t>. Inoltre, il valore della tredicesima deve essere calcolato considerando ogni periodo di servizio prestato così come descritto nell’allegato “G”.</w:t>
            </w:r>
          </w:p>
          <w:p w:rsidR="007912C2" w:rsidRPr="007912C2" w:rsidRDefault="007912C2" w:rsidP="007912C2">
            <w:pPr>
              <w:spacing w:before="100" w:beforeAutospacing="1"/>
              <w:jc w:val="both"/>
              <w:rPr>
                <w:lang w:val="it-IT"/>
              </w:rPr>
            </w:pPr>
            <w:r w:rsidRPr="007912C2">
              <w:rPr>
                <w:lang w:val="it-IT"/>
              </w:rPr>
              <w:t> </w:t>
            </w:r>
          </w:p>
          <w:p w:rsidR="007912C2" w:rsidRPr="007912C2" w:rsidRDefault="007912C2" w:rsidP="007912C2">
            <w:pPr>
              <w:pStyle w:val="Titolo2"/>
              <w:spacing w:before="40" w:beforeAutospacing="0" w:after="120" w:afterAutospacing="0"/>
              <w:ind w:left="426" w:hanging="426"/>
              <w:rPr>
                <w:lang w:val="it-IT"/>
              </w:rPr>
            </w:pPr>
            <w:bookmarkStart w:id="17" w:name="_Toc4422790"/>
            <w:r w:rsidRPr="007912C2">
              <w:rPr>
                <w:lang w:val="it-IT"/>
              </w:rPr>
              <w:t>1.12 Trattamento fiscale e previdenziale delle indennità</w:t>
            </w:r>
            <w:bookmarkEnd w:id="17"/>
            <w:r w:rsidRPr="007912C2">
              <w:rPr>
                <w:lang w:val="it-IT"/>
              </w:rPr>
              <w:t xml:space="preserve"> </w:t>
            </w:r>
          </w:p>
          <w:p w:rsidR="007912C2" w:rsidRPr="007912C2" w:rsidRDefault="007912C2" w:rsidP="007912C2">
            <w:pPr>
              <w:spacing w:before="100" w:beforeAutospacing="1"/>
              <w:jc w:val="both"/>
              <w:rPr>
                <w:lang w:val="it-IT"/>
              </w:rPr>
            </w:pPr>
            <w:r w:rsidRPr="007912C2">
              <w:rPr>
                <w:lang w:val="it-IT"/>
              </w:rPr>
              <w:t>Le indennità operative, data la particolare natura, sono assimilate in tutto e per tutto dal punto di vista fiscale e contributivo ai fini pensionistici alle voci di stipendio.</w:t>
            </w:r>
          </w:p>
          <w:p w:rsidR="007912C2" w:rsidRPr="007912C2" w:rsidRDefault="007912C2" w:rsidP="007912C2">
            <w:pPr>
              <w:spacing w:before="100" w:beforeAutospacing="1"/>
              <w:jc w:val="both"/>
              <w:rPr>
                <w:lang w:val="it-IT"/>
              </w:rPr>
            </w:pPr>
            <w:r w:rsidRPr="007912C2">
              <w:rPr>
                <w:lang w:val="it-IT"/>
              </w:rPr>
              <w:t>Si specifica, però, che l’indennità d’impiego operativo non concorre alla formazione della base imponibile per il calcolo del Trattamento di Fine Servizio (TFS).</w:t>
            </w:r>
          </w:p>
          <w:p w:rsidR="007912C2" w:rsidRPr="007912C2" w:rsidRDefault="007912C2" w:rsidP="007912C2">
            <w:pPr>
              <w:spacing w:before="100" w:beforeAutospacing="1" w:line="276" w:lineRule="auto"/>
              <w:jc w:val="both"/>
              <w:rPr>
                <w:lang w:val="it-IT"/>
              </w:rPr>
            </w:pPr>
            <w:r w:rsidRPr="007912C2">
              <w:rPr>
                <w:lang w:val="it-IT"/>
              </w:rPr>
              <w:t xml:space="preserve">Esistono delle eccezioni in base alle quali talune indennità, ai fini fiscali e previdenziali, concorrono solo parzialmente alla formazione del reddito (es.: indennità aeronavigazione, volo, etc.). In </w:t>
            </w:r>
            <w:r w:rsidRPr="007912C2">
              <w:rPr>
                <w:u w:val="single"/>
                <w:lang w:val="it-IT"/>
              </w:rPr>
              <w:t xml:space="preserve">allegato “B” </w:t>
            </w:r>
            <w:r w:rsidRPr="007912C2">
              <w:rPr>
                <w:lang w:val="it-IT"/>
              </w:rPr>
              <w:t>sono riportate le percentuali di tassazione previste dalla legge.</w:t>
            </w:r>
          </w:p>
          <w:p w:rsidR="007912C2" w:rsidRPr="007912C2" w:rsidRDefault="007912C2" w:rsidP="007912C2">
            <w:pPr>
              <w:spacing w:before="100" w:beforeAutospacing="1" w:line="276" w:lineRule="auto"/>
              <w:jc w:val="both"/>
              <w:rPr>
                <w:lang w:val="it-IT"/>
              </w:rPr>
            </w:pPr>
            <w:r w:rsidRPr="007912C2">
              <w:rPr>
                <w:b/>
                <w:bCs/>
                <w:sz w:val="20"/>
                <w:szCs w:val="20"/>
                <w:lang w:val="it-IT"/>
              </w:rPr>
              <w:t> </w:t>
            </w:r>
          </w:p>
          <w:p w:rsidR="007912C2" w:rsidRPr="007912C2" w:rsidRDefault="007912C2" w:rsidP="007912C2">
            <w:pPr>
              <w:pStyle w:val="Titolo2"/>
              <w:spacing w:before="40" w:beforeAutospacing="0" w:after="120" w:afterAutospacing="0"/>
              <w:ind w:left="426" w:hanging="426"/>
              <w:rPr>
                <w:lang w:val="it-IT"/>
              </w:rPr>
            </w:pPr>
            <w:bookmarkStart w:id="18" w:name="_Toc4422791"/>
            <w:r w:rsidRPr="007912C2">
              <w:rPr>
                <w:lang w:val="it-IT"/>
              </w:rPr>
              <w:t>1.13 Assegno ad personam (art. 4 comma 4 del D.P.R. 255/99)</w:t>
            </w:r>
            <w:bookmarkEnd w:id="18"/>
            <w:r w:rsidRPr="007912C2">
              <w:rPr>
                <w:i/>
                <w:iCs/>
                <w:lang w:val="it-IT"/>
              </w:rPr>
              <w:t xml:space="preserve"> </w:t>
            </w:r>
            <w:r w:rsidRPr="007912C2">
              <w:rPr>
                <w:lang w:val="it-IT"/>
              </w:rPr>
              <w:t> </w:t>
            </w:r>
          </w:p>
          <w:p w:rsidR="007912C2" w:rsidRPr="007912C2" w:rsidRDefault="007912C2" w:rsidP="007912C2">
            <w:pPr>
              <w:spacing w:before="100" w:beforeAutospacing="1"/>
              <w:jc w:val="both"/>
              <w:rPr>
                <w:lang w:val="it-IT"/>
              </w:rPr>
            </w:pPr>
            <w:r w:rsidRPr="007912C2">
              <w:rPr>
                <w:lang w:val="it-IT"/>
              </w:rPr>
              <w:t>Il personale destinatario di indennità di impiego operativo fondamentali e supplementari che, all’atto del transito al ruolo superiore o in servizio permanente, si trovi nella condizione di avere diritto a un’indennità di misura inferiore a quella di cui sia già provvisto, conserva il trattamento in godimento.</w:t>
            </w:r>
          </w:p>
          <w:p w:rsidR="007912C2" w:rsidRPr="007912C2" w:rsidRDefault="007912C2" w:rsidP="007912C2">
            <w:pPr>
              <w:spacing w:before="100" w:beforeAutospacing="1"/>
              <w:jc w:val="both"/>
              <w:rPr>
                <w:lang w:val="it-IT"/>
              </w:rPr>
            </w:pPr>
            <w:r w:rsidRPr="007912C2">
              <w:rPr>
                <w:lang w:val="it-IT"/>
              </w:rPr>
              <w:t>La conservazione di questo trattamento è garantita attraverso l'attribuzione di un "</w:t>
            </w:r>
            <w:r w:rsidRPr="007912C2">
              <w:rPr>
                <w:i/>
                <w:iCs/>
                <w:lang w:val="it-IT"/>
              </w:rPr>
              <w:t>assegno ad personam</w:t>
            </w:r>
            <w:r w:rsidRPr="007912C2">
              <w:rPr>
                <w:lang w:val="it-IT"/>
              </w:rPr>
              <w:t>” integrativo ai sensi delle disposizioni di cui all'art. 4 comma 4 del D.P.R. 255/99, pari alla differenza tra l'indennità relativa al precedente ruolo e quella relativa al nuovo ruolo superiore.</w:t>
            </w:r>
          </w:p>
          <w:p w:rsidR="007912C2" w:rsidRPr="007912C2" w:rsidRDefault="007912C2" w:rsidP="007912C2">
            <w:pPr>
              <w:spacing w:before="100" w:beforeAutospacing="1"/>
              <w:jc w:val="both"/>
              <w:rPr>
                <w:lang w:val="it-IT"/>
              </w:rPr>
            </w:pPr>
            <w:r w:rsidRPr="007912C2">
              <w:rPr>
                <w:lang w:val="it-IT"/>
              </w:rPr>
              <w:t xml:space="preserve">L'assegno </w:t>
            </w:r>
            <w:r w:rsidRPr="007912C2">
              <w:rPr>
                <w:i/>
                <w:iCs/>
                <w:lang w:val="it-IT"/>
              </w:rPr>
              <w:t>ad personam</w:t>
            </w:r>
            <w:r w:rsidRPr="007912C2">
              <w:rPr>
                <w:lang w:val="it-IT"/>
              </w:rPr>
              <w:t xml:space="preserve"> è riassorbito dagli incrementi di indennità operativa di cui l'interessato sarà successivamente destinatario (es.: per progressioni di carriera).</w:t>
            </w:r>
          </w:p>
          <w:p w:rsidR="007912C2" w:rsidRPr="007912C2" w:rsidRDefault="007912C2" w:rsidP="007912C2">
            <w:pPr>
              <w:spacing w:before="100" w:beforeAutospacing="1"/>
              <w:ind w:firstLine="426"/>
              <w:jc w:val="both"/>
              <w:rPr>
                <w:lang w:val="it-IT"/>
              </w:rPr>
            </w:pPr>
            <w:r w:rsidRPr="007912C2">
              <w:rPr>
                <w:lang w:val="it-IT"/>
              </w:rPr>
              <w:t> </w:t>
            </w:r>
          </w:p>
          <w:p w:rsidR="007912C2" w:rsidRPr="007912C2" w:rsidRDefault="007912C2" w:rsidP="007912C2">
            <w:pPr>
              <w:pStyle w:val="Titolo2"/>
              <w:spacing w:before="40" w:beforeAutospacing="0" w:after="120" w:afterAutospacing="0"/>
              <w:ind w:left="426" w:hanging="426"/>
              <w:jc w:val="both"/>
              <w:rPr>
                <w:lang w:val="it-IT"/>
              </w:rPr>
            </w:pPr>
            <w:bookmarkStart w:id="19" w:name="_Toc4422792"/>
            <w:r w:rsidRPr="007912C2">
              <w:rPr>
                <w:lang w:val="it-IT"/>
              </w:rPr>
              <w:t>1.14 Aumenti nel computo dei servizi (“supervalutazioni”)</w:t>
            </w:r>
            <w:bookmarkEnd w:id="19"/>
            <w:r w:rsidRPr="007912C2">
              <w:rPr>
                <w:lang w:val="it-IT"/>
              </w:rPr>
              <w:t xml:space="preserve"> </w:t>
            </w:r>
          </w:p>
          <w:p w:rsidR="007912C2" w:rsidRPr="007912C2" w:rsidRDefault="007912C2" w:rsidP="007912C2">
            <w:pPr>
              <w:spacing w:before="100" w:beforeAutospacing="1" w:after="100" w:afterAutospacing="1"/>
              <w:jc w:val="both"/>
              <w:rPr>
                <w:lang w:val="it-IT"/>
              </w:rPr>
            </w:pPr>
            <w:r w:rsidRPr="007912C2">
              <w:rPr>
                <w:lang w:val="it-IT"/>
              </w:rPr>
              <w:t>La percezione delle indennità di impiego operativo dà diritto a maggiorazioni del servizio effettivo, disciplinati dal D.lgs. 66/2010 artt. 1849 e seguenti come nella sotto riportata tabella. Gli articoli 5 e 7 del decreto legislativo 30 aprile 1997, n. 165, richiamati nel comma 2 dell'articolo 1843 del D.lgs. 66/2010, stabiliscono che gli aumenti del periodo di servizio</w:t>
            </w:r>
            <w:r w:rsidRPr="007912C2">
              <w:rPr>
                <w:color w:val="000000"/>
                <w:shd w:val="clear" w:color="auto" w:fill="F9F8F4"/>
                <w:lang w:val="it-IT"/>
              </w:rPr>
              <w:t xml:space="preserve"> </w:t>
            </w:r>
            <w:r w:rsidRPr="007912C2">
              <w:rPr>
                <w:lang w:val="it-IT"/>
              </w:rPr>
              <w:t>computabili ai fini pensionistici, non possono eccedere complessivamente i cinque anni.</w:t>
            </w:r>
            <w:r w:rsidRPr="007912C2">
              <w:rPr>
                <w:color w:val="000000"/>
                <w:shd w:val="clear" w:color="auto" w:fill="F9F8F4"/>
                <w:lang w:val="it-IT"/>
              </w:rPr>
              <w:t xml:space="preserve"> </w:t>
            </w:r>
            <w:r w:rsidRPr="007912C2">
              <w:rPr>
                <w:lang w:val="it-IT"/>
              </w:rPr>
              <w:t xml:space="preserve">Gli aumenti dei periodi di </w:t>
            </w:r>
            <w:r w:rsidRPr="007912C2">
              <w:rPr>
                <w:lang w:val="it-IT"/>
              </w:rPr>
              <w:lastRenderedPageBreak/>
              <w:t>servizio anche se eccedenti i cinque anni, maturati alla data di entrata in vigore del D.lgs. 66/2010, con percezione delle relative indennità, sono riconosciuti validi ai fini pensionistici e non sono ulteriormente aumentabili.</w:t>
            </w:r>
          </w:p>
          <w:p w:rsidR="007912C2" w:rsidRPr="007912C2" w:rsidRDefault="007912C2" w:rsidP="007912C2">
            <w:pPr>
              <w:spacing w:before="100" w:beforeAutospacing="1"/>
              <w:jc w:val="right"/>
              <w:rPr>
                <w:lang w:val="it-IT"/>
              </w:rPr>
            </w:pPr>
            <w:r w:rsidRPr="007912C2">
              <w:rPr>
                <w:i/>
                <w:iCs/>
                <w:sz w:val="20"/>
                <w:szCs w:val="20"/>
                <w:lang w:val="it-IT"/>
              </w:rPr>
              <w:t>Tabella 4 – Maggiorazioni del servizio effettivo (“Supervalutazioni”)</w:t>
            </w:r>
          </w:p>
          <w:tbl>
            <w:tblPr>
              <w:tblW w:w="0" w:type="dxa"/>
              <w:tblLayout w:type="fixed"/>
              <w:tblCellMar>
                <w:left w:w="0" w:type="dxa"/>
                <w:right w:w="0" w:type="dxa"/>
              </w:tblCellMar>
              <w:tblLook w:val="04A0" w:firstRow="1" w:lastRow="0" w:firstColumn="1" w:lastColumn="0" w:noHBand="0" w:noVBand="1"/>
            </w:tblPr>
            <w:tblGrid>
              <w:gridCol w:w="361"/>
              <w:gridCol w:w="8428"/>
              <w:gridCol w:w="850"/>
            </w:tblGrid>
            <w:tr w:rsidR="007912C2" w:rsidTr="007912C2">
              <w:trPr>
                <w:trHeight w:val="568"/>
              </w:trPr>
              <w:tc>
                <w:tcPr>
                  <w:tcW w:w="36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jc w:val="center"/>
                  </w:pPr>
                  <w:r>
                    <w:rPr>
                      <w:color w:val="000000"/>
                    </w:rPr>
                    <w:t>1</w:t>
                  </w:r>
                </w:p>
              </w:tc>
              <w:tc>
                <w:tcPr>
                  <w:tcW w:w="842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pPr>
                  <w:r>
                    <w:rPr>
                      <w:color w:val="000000"/>
                    </w:rPr>
                    <w:t>Servizi reparti di campagna, truppe alpine, supercampagna, controllo spazio marittimo, enti centrali, territoriali e scuole - art. 1850 d.lgs. 66/2010</w:t>
                  </w:r>
                </w:p>
              </w:tc>
              <w:tc>
                <w:tcPr>
                  <w:tcW w:w="850"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jc w:val="center"/>
                  </w:pPr>
                  <w:r>
                    <w:rPr>
                      <w:color w:val="000000"/>
                    </w:rPr>
                    <w:t>1/5</w:t>
                  </w:r>
                </w:p>
              </w:tc>
            </w:tr>
            <w:tr w:rsidR="007912C2" w:rsidTr="007912C2">
              <w:trPr>
                <w:trHeight w:val="331"/>
              </w:trPr>
              <w:tc>
                <w:tcPr>
                  <w:tcW w:w="36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2</w:t>
                  </w:r>
                </w:p>
              </w:tc>
              <w:tc>
                <w:tcPr>
                  <w:tcW w:w="84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after="100" w:afterAutospacing="1"/>
                  </w:pPr>
                  <w:r>
                    <w:rPr>
                      <w:color w:val="000000"/>
                    </w:rPr>
                    <w:t>Servizio di controllo dello spazio aereo - art. 1851 d.lgs. 66/2010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1/5</w:t>
                  </w:r>
                </w:p>
              </w:tc>
            </w:tr>
            <w:tr w:rsidR="007912C2" w:rsidTr="007912C2">
              <w:trPr>
                <w:trHeight w:val="658"/>
              </w:trPr>
              <w:tc>
                <w:tcPr>
                  <w:tcW w:w="36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3</w:t>
                  </w:r>
                </w:p>
              </w:tc>
              <w:tc>
                <w:tcPr>
                  <w:tcW w:w="84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after="100" w:afterAutospacing="1"/>
                  </w:pPr>
                  <w:r>
                    <w:rPr>
                      <w:color w:val="000000"/>
                    </w:rPr>
                    <w:t>Servizio di navigazione (con percezione dell’indennità di imbarco su navi di superfice e sommergibili) art. 1852 d.lgs. 66/2010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1/3</w:t>
                  </w:r>
                </w:p>
              </w:tc>
            </w:tr>
            <w:tr w:rsidR="007912C2" w:rsidTr="007912C2">
              <w:trPr>
                <w:trHeight w:val="331"/>
              </w:trPr>
              <w:tc>
                <w:tcPr>
                  <w:tcW w:w="36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4</w:t>
                  </w:r>
                </w:p>
              </w:tc>
              <w:tc>
                <w:tcPr>
                  <w:tcW w:w="84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after="100" w:afterAutospacing="1"/>
                  </w:pPr>
                  <w:r>
                    <w:rPr>
                      <w:color w:val="000000"/>
                    </w:rPr>
                    <w:t>Servizio di volo (con percezione della aeronavigazione e volo) - art. 1853 d.lgs 66/2010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1/3</w:t>
                  </w:r>
                </w:p>
              </w:tc>
            </w:tr>
            <w:tr w:rsidR="007912C2" w:rsidTr="007912C2">
              <w:trPr>
                <w:trHeight w:val="326"/>
              </w:trPr>
              <w:tc>
                <w:tcPr>
                  <w:tcW w:w="36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5</w:t>
                  </w:r>
                </w:p>
              </w:tc>
              <w:tc>
                <w:tcPr>
                  <w:tcW w:w="84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after="100" w:afterAutospacing="1"/>
                  </w:pPr>
                  <w:r>
                    <w:rPr>
                      <w:color w:val="000000"/>
                    </w:rPr>
                    <w:t xml:space="preserve">Servizio in stabilimenti militari di pena – art. 1855 d.lgs. 66/2010, </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1/5</w:t>
                  </w:r>
                </w:p>
              </w:tc>
            </w:tr>
            <w:tr w:rsidR="007912C2" w:rsidTr="007912C2">
              <w:trPr>
                <w:trHeight w:val="307"/>
              </w:trPr>
              <w:tc>
                <w:tcPr>
                  <w:tcW w:w="36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6</w:t>
                  </w:r>
                </w:p>
              </w:tc>
              <w:tc>
                <w:tcPr>
                  <w:tcW w:w="84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912C2" w:rsidRDefault="007912C2" w:rsidP="007912C2">
                  <w:pPr>
                    <w:shd w:val="clear" w:color="auto" w:fill="FFFFFF"/>
                    <w:spacing w:before="100" w:beforeAutospacing="1" w:after="100" w:afterAutospacing="1"/>
                  </w:pPr>
                  <w:r>
                    <w:rPr>
                      <w:color w:val="000000"/>
                    </w:rPr>
                    <w:t xml:space="preserve">Servizio in </w:t>
                  </w:r>
                  <w:r>
                    <w:t>contingenti impiegati in missioni internazionali di pace - art. 7 L. 145/2016</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7912C2" w:rsidRDefault="007912C2" w:rsidP="007912C2">
                  <w:pPr>
                    <w:shd w:val="clear" w:color="auto" w:fill="FFFFFF"/>
                    <w:spacing w:before="100" w:beforeAutospacing="1" w:after="100" w:afterAutospacing="1"/>
                    <w:jc w:val="center"/>
                  </w:pPr>
                  <w:r>
                    <w:rPr>
                      <w:color w:val="000000"/>
                    </w:rPr>
                    <w:t>1/3</w:t>
                  </w:r>
                </w:p>
              </w:tc>
            </w:tr>
          </w:tbl>
          <w:p w:rsidR="007912C2" w:rsidRPr="007912C2" w:rsidRDefault="007912C2" w:rsidP="007912C2">
            <w:pPr>
              <w:pStyle w:val="Paragrafoelenco"/>
              <w:spacing w:after="0" w:afterAutospacing="0" w:line="276" w:lineRule="auto"/>
              <w:rPr>
                <w:lang w:val="it-IT"/>
              </w:rPr>
            </w:pPr>
            <w:r w:rsidRPr="007912C2">
              <w:rPr>
                <w:b/>
                <w:bCs/>
                <w:lang w:val="it-IT"/>
              </w:rPr>
              <w:t> </w:t>
            </w:r>
          </w:p>
          <w:p w:rsidR="007912C2" w:rsidRPr="007912C2" w:rsidRDefault="007912C2" w:rsidP="007912C2">
            <w:pPr>
              <w:rPr>
                <w:lang w:val="it-IT"/>
              </w:rPr>
            </w:pPr>
            <w:r w:rsidRPr="007912C2">
              <w:rPr>
                <w:rFonts w:ascii="Calibri" w:hAnsi="Calibri"/>
                <w:lang w:val="it-IT"/>
              </w:rPr>
              <w:t>Ai fini delle maggiorazioni da riportare sulle DMA dovrà essere riportato il codice di maggiorazione riferito all’indennità di diritto anche in caso di percezione dell’indennità di base più il trascinamento sempreché quest’ultima non venga percepita a seguito di riduzioni/sospensioni</w:t>
            </w:r>
          </w:p>
          <w:p w:rsidR="007912C2" w:rsidRPr="007912C2" w:rsidRDefault="007912C2" w:rsidP="007912C2">
            <w:pPr>
              <w:rPr>
                <w:lang w:val="it-IT"/>
              </w:rPr>
            </w:pPr>
          </w:p>
          <w:p w:rsidR="007912C2" w:rsidRPr="007912C2" w:rsidRDefault="007912C2" w:rsidP="007912C2">
            <w:pPr>
              <w:pStyle w:val="Titolo2"/>
              <w:rPr>
                <w:lang w:val="it-IT"/>
              </w:rPr>
            </w:pPr>
            <w:r w:rsidRPr="007912C2">
              <w:rPr>
                <w:lang w:val="it-IT"/>
              </w:rPr>
              <w:t>1.15  Gestione del personale in servizio presso Enti ed organismi internazionali all’estero</w:t>
            </w:r>
          </w:p>
          <w:p w:rsidR="007912C2" w:rsidRPr="007912C2" w:rsidRDefault="007912C2" w:rsidP="007912C2">
            <w:pPr>
              <w:pStyle w:val="NormaleWeb"/>
              <w:rPr>
                <w:lang w:val="it-IT"/>
              </w:rPr>
            </w:pPr>
            <w:r w:rsidRPr="007912C2">
              <w:rPr>
                <w:lang w:val="it-IT"/>
              </w:rPr>
              <w:t>Il personale militare trasferito presso Enti all’estero può trovarsi in una delle seguenti condizioni di regime retributivo:</w:t>
            </w:r>
          </w:p>
          <w:p w:rsidR="007912C2" w:rsidRPr="007912C2" w:rsidRDefault="007912C2" w:rsidP="007912C2">
            <w:pPr>
              <w:pStyle w:val="NormaleWeb"/>
              <w:rPr>
                <w:lang w:val="it-IT"/>
              </w:rPr>
            </w:pPr>
            <w:r w:rsidRPr="007912C2">
              <w:rPr>
                <w:lang w:val="it-IT"/>
              </w:rPr>
              <w:t xml:space="preserve">-          Articolo 1808 del D.Lgs. 66/2010 (C.O.M.) per l’impiego presso delegazioni o rappresentanze militari nazionali costituite all’estero ovvero presso enti, comandi od organismi internazionali (NATO/UE/ONU); </w:t>
            </w:r>
          </w:p>
          <w:p w:rsidR="007912C2" w:rsidRPr="007912C2" w:rsidRDefault="007912C2" w:rsidP="007912C2">
            <w:pPr>
              <w:pStyle w:val="NormaleWeb"/>
              <w:rPr>
                <w:lang w:val="it-IT"/>
              </w:rPr>
            </w:pPr>
            <w:r w:rsidRPr="007912C2">
              <w:rPr>
                <w:lang w:val="it-IT"/>
              </w:rPr>
              <w:t>-          Articolo 1809 del D.Lgs. 66/2010 per l’impiego presso Rappresentanze Diplomatiche italiane all’estero</w:t>
            </w:r>
          </w:p>
          <w:p w:rsidR="007912C2" w:rsidRPr="007912C2" w:rsidRDefault="007912C2" w:rsidP="007912C2">
            <w:pPr>
              <w:pStyle w:val="NormaleWeb"/>
              <w:rPr>
                <w:lang w:val="it-IT"/>
              </w:rPr>
            </w:pPr>
            <w:r w:rsidRPr="007912C2">
              <w:rPr>
                <w:lang w:val="it-IT"/>
              </w:rPr>
              <w:t>-          Legge 1114/1962 per il personale collocato fuori ruolo per assumere un impiego o un incarico temporaneo di durata non inferiore a sei mesi presso enti o organismi internazionali, nonché esercitare funzioni, anche di carattere continuativo, presso Stati esteri</w:t>
            </w:r>
          </w:p>
          <w:p w:rsidR="007912C2" w:rsidRPr="007912C2" w:rsidRDefault="007912C2" w:rsidP="007912C2">
            <w:pPr>
              <w:pStyle w:val="NormaleWeb"/>
              <w:rPr>
                <w:lang w:val="it-IT"/>
              </w:rPr>
            </w:pPr>
            <w:r w:rsidRPr="007912C2">
              <w:rPr>
                <w:lang w:val="it-IT"/>
              </w:rPr>
              <w:t>Il personale impiegato all’estero secondo i dettami degli artt. 1808 e 1809 del C.O.M. D.Lgs. 66/2010 continua a percepire il trattamento economico stipendiale nazionale e, in particolare, è destinatario dell’indennità di impiego operativo di campagna, fermo restando l’attribuzione dell’operativa di base maggiorata del trascinamento se più favorevole.</w:t>
            </w:r>
          </w:p>
          <w:p w:rsidR="007912C2" w:rsidRPr="007912C2" w:rsidRDefault="007912C2" w:rsidP="007912C2">
            <w:pPr>
              <w:pStyle w:val="NormaleWeb"/>
              <w:rPr>
                <w:lang w:val="it-IT"/>
              </w:rPr>
            </w:pPr>
            <w:r w:rsidRPr="007912C2">
              <w:rPr>
                <w:lang w:val="it-IT"/>
              </w:rPr>
              <w:t xml:space="preserve">Al personale impiegato all’estero ai sensi della legge 1114/1962 viene sospesa la corresponsione del trattamento economico nazionale, ivi inclusa l’indennità di impiego operativo. Si precisa che ai fini previdenziali continuano a calcolarsi i contributi previsti con riferimento all’ultimo stipendio percepito, ad </w:t>
            </w:r>
            <w:r w:rsidRPr="007912C2">
              <w:rPr>
                <w:lang w:val="it-IT"/>
              </w:rPr>
              <w:lastRenderedPageBreak/>
              <w:t>eccezione dell’indennità di impiego operativo per la quale, invece, si considera l’operativa di base maggiorata del trascinamento maturato</w:t>
            </w:r>
          </w:p>
          <w:p w:rsidR="007912C2" w:rsidRPr="007912C2" w:rsidRDefault="007912C2" w:rsidP="007912C2">
            <w:pPr>
              <w:pStyle w:val="NormaleWeb"/>
              <w:rPr>
                <w:lang w:val="it-IT"/>
              </w:rPr>
            </w:pPr>
          </w:p>
          <w:p w:rsidR="007912C2" w:rsidRPr="007912C2" w:rsidRDefault="007912C2" w:rsidP="007912C2">
            <w:pPr>
              <w:pStyle w:val="Titolo2"/>
              <w:rPr>
                <w:lang w:val="it-IT"/>
              </w:rPr>
            </w:pPr>
            <w:bookmarkStart w:id="20" w:name="_Toc4422793"/>
            <w:r w:rsidRPr="007912C2">
              <w:rPr>
                <w:lang w:val="it-IT"/>
              </w:rPr>
              <w:t>2. Scenari di gestione</w:t>
            </w:r>
            <w:bookmarkEnd w:id="20"/>
            <w:r w:rsidRPr="007912C2">
              <w:rPr>
                <w:lang w:val="it-IT"/>
              </w:rPr>
              <w:t xml:space="preserve"> </w:t>
            </w:r>
          </w:p>
          <w:p w:rsidR="007912C2" w:rsidRPr="007912C2" w:rsidRDefault="007912C2" w:rsidP="007912C2">
            <w:pPr>
              <w:spacing w:before="100" w:beforeAutospacing="1"/>
              <w:jc w:val="both"/>
              <w:rPr>
                <w:lang w:val="it-IT"/>
              </w:rPr>
            </w:pPr>
            <w:r w:rsidRPr="007912C2">
              <w:rPr>
                <w:lang w:val="it-IT"/>
              </w:rPr>
              <w:t xml:space="preserve">Di seguito vengono descritti gli scenari, attuali e futuri, di gestione delle indennità operative attribuite al personale delle Forze Armate. </w:t>
            </w:r>
          </w:p>
          <w:p w:rsidR="007912C2" w:rsidRPr="007912C2" w:rsidRDefault="007912C2" w:rsidP="007912C2">
            <w:pPr>
              <w:spacing w:before="100" w:beforeAutospacing="1"/>
              <w:jc w:val="both"/>
              <w:rPr>
                <w:lang w:val="it-IT"/>
              </w:rPr>
            </w:pPr>
            <w:r>
              <w:rPr>
                <w:noProof/>
                <w:lang w:eastAsia="it-IT"/>
              </w:rPr>
              <w:drawing>
                <wp:inline distT="0" distB="0" distL="0" distR="0">
                  <wp:extent cx="4257675" cy="3162300"/>
                  <wp:effectExtent l="0" t="0" r="9525" b="0"/>
                  <wp:docPr id="91" name="Immagine 91" descr="http://tfsprod.mef.gov.it/tfs/Cloudify-NoiPA/WorkItemTracking/v1.0/AttachFileHandler.ashx?FileNameGuid=2dbc6f30-799c-45d4-895e-d027a8acbb16&amp;FileName=temp1562578332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tfsprod.mef.gov.it/tfs/Cloudify-NoiPA/WorkItemTracking/v1.0/AttachFileHandler.ashx?FileNameGuid=2dbc6f30-799c-45d4-895e-d027a8acbb16&amp;FileName=temp156257833250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57675" cy="3162300"/>
                          </a:xfrm>
                          <a:prstGeom prst="rect">
                            <a:avLst/>
                          </a:prstGeom>
                          <a:noFill/>
                          <a:ln>
                            <a:noFill/>
                          </a:ln>
                        </pic:spPr>
                      </pic:pic>
                    </a:graphicData>
                  </a:graphic>
                </wp:inline>
              </w:drawing>
            </w:r>
            <w:r w:rsidRPr="007912C2">
              <w:rPr>
                <w:lang w:val="it-IT"/>
              </w:rPr>
              <w:br/>
              <w:t> </w:t>
            </w:r>
          </w:p>
          <w:p w:rsidR="007912C2" w:rsidRPr="007912C2" w:rsidRDefault="007912C2" w:rsidP="007912C2">
            <w:pPr>
              <w:spacing w:before="100" w:beforeAutospacing="1" w:line="276" w:lineRule="auto"/>
              <w:jc w:val="both"/>
              <w:rPr>
                <w:lang w:val="it-IT"/>
              </w:rPr>
            </w:pPr>
            <w:r w:rsidRPr="007912C2">
              <w:rPr>
                <w:lang w:val="it-IT"/>
              </w:rPr>
              <w:t> </w:t>
            </w:r>
          </w:p>
          <w:p w:rsidR="007912C2" w:rsidRPr="007912C2" w:rsidRDefault="007912C2" w:rsidP="007912C2">
            <w:pPr>
              <w:pStyle w:val="Titolo2"/>
              <w:spacing w:before="40" w:beforeAutospacing="0" w:after="120" w:afterAutospacing="0"/>
              <w:ind w:left="426" w:hanging="426"/>
              <w:rPr>
                <w:lang w:val="it-IT"/>
              </w:rPr>
            </w:pPr>
            <w:bookmarkStart w:id="21" w:name="_Toc4422794"/>
            <w:r w:rsidRPr="007912C2">
              <w:rPr>
                <w:lang w:val="it-IT"/>
              </w:rPr>
              <w:t>2.1 Scenario attuale di gestione (AS-IS)</w:t>
            </w:r>
            <w:bookmarkEnd w:id="21"/>
          </w:p>
          <w:p w:rsidR="007912C2" w:rsidRPr="007912C2" w:rsidRDefault="007912C2" w:rsidP="007912C2">
            <w:pPr>
              <w:spacing w:before="100" w:beforeAutospacing="1" w:line="276" w:lineRule="auto"/>
              <w:jc w:val="both"/>
              <w:rPr>
                <w:lang w:val="it-IT"/>
              </w:rPr>
            </w:pPr>
            <w:r w:rsidRPr="007912C2">
              <w:rPr>
                <w:lang w:val="it-IT"/>
              </w:rPr>
              <w:t>Il processo attuale di gestione delle indennità operative da parte delle FFAA prevede che il sistema CUSI-BDUS, sulla base delle determinazioni delle F.A.,  effettua tutti i calcoli e i controlli e solo in seguito invii a NoiPA i dati per l'applicazione economica stipendiale.</w:t>
            </w:r>
          </w:p>
          <w:p w:rsidR="007912C2" w:rsidRPr="007912C2" w:rsidRDefault="007912C2" w:rsidP="007912C2">
            <w:pPr>
              <w:spacing w:before="100" w:beforeAutospacing="1" w:line="276" w:lineRule="auto"/>
              <w:jc w:val="both"/>
              <w:rPr>
                <w:lang w:val="it-IT"/>
              </w:rPr>
            </w:pPr>
            <w:r w:rsidRPr="007912C2">
              <w:rPr>
                <w:lang w:val="it-IT"/>
              </w:rPr>
              <w:t>I dati giuridici (grado, dati di servizio/sospensione/riduzione e gli altri eventi che modificano l’anzianità) vengono inseriti dagli operatori delle singole F.A. che, a seconda della tipologia e della localizzazione dell'ente di impiego (es. teatri operativi in zone di guerra), periodicamente e in modo non sistematico possono:</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inserire i dati sulla banca dati della propria Forza Armata che provvede successivamente a transitare gli stessi, tramite flusso, sul sistema CUSI-BDUS;</w:t>
            </w:r>
          </w:p>
          <w:p w:rsidR="007912C2" w:rsidRPr="007912C2" w:rsidRDefault="007912C2" w:rsidP="007912C2">
            <w:pPr>
              <w:spacing w:after="120" w:line="276" w:lineRule="auto"/>
              <w:ind w:left="284" w:hanging="284"/>
              <w:jc w:val="both"/>
              <w:rPr>
                <w:lang w:val="it-IT"/>
              </w:rPr>
            </w:pPr>
            <w:r w:rsidRPr="007912C2">
              <w:rPr>
                <w:lang w:val="it-IT"/>
              </w:rPr>
              <w:t>-</w:t>
            </w:r>
            <w:r w:rsidRPr="007912C2">
              <w:rPr>
                <w:sz w:val="14"/>
                <w:szCs w:val="14"/>
                <w:lang w:val="it-IT"/>
              </w:rPr>
              <w:t xml:space="preserve">        </w:t>
            </w:r>
            <w:r w:rsidRPr="007912C2">
              <w:rPr>
                <w:lang w:val="it-IT"/>
              </w:rPr>
              <w:t>accedere al gestionale messo a disposizione dal CUSI-BDUS per inserire i dati direttamente sulla banca dati BDUS.</w:t>
            </w:r>
          </w:p>
          <w:p w:rsidR="007912C2" w:rsidRPr="007912C2" w:rsidRDefault="007912C2" w:rsidP="007912C2">
            <w:pPr>
              <w:spacing w:before="100" w:beforeAutospacing="1" w:after="120" w:line="276" w:lineRule="auto"/>
              <w:jc w:val="both"/>
              <w:rPr>
                <w:lang w:val="it-IT"/>
              </w:rPr>
            </w:pPr>
            <w:r w:rsidRPr="007912C2">
              <w:rPr>
                <w:lang w:val="it-IT"/>
              </w:rPr>
              <w:lastRenderedPageBreak/>
              <w:t>I dati economici, quali le indennità operative da attribuire oppure la percentuale da riconoscere a titolo di trascinamento  possono essere inseriti direttamente dall’</w:t>
            </w:r>
            <w:r w:rsidRPr="007912C2">
              <w:rPr>
                <w:b/>
                <w:bCs/>
                <w:lang w:val="it-IT"/>
              </w:rPr>
              <w:t>ente amministrativo della Forza Armata  </w:t>
            </w:r>
            <w:r w:rsidRPr="007912C2">
              <w:rPr>
                <w:lang w:val="it-IT"/>
              </w:rPr>
              <w:t xml:space="preserve">sul sistema gestionale del CUSI-BDUS oppure comunicate al CUSI-BDUS che provvede ad inserirle. </w:t>
            </w:r>
          </w:p>
          <w:p w:rsidR="007912C2" w:rsidRPr="007912C2" w:rsidRDefault="007912C2" w:rsidP="007912C2">
            <w:pPr>
              <w:spacing w:before="100" w:beforeAutospacing="1" w:after="120" w:line="276" w:lineRule="auto"/>
              <w:jc w:val="both"/>
              <w:rPr>
                <w:lang w:val="it-IT"/>
              </w:rPr>
            </w:pPr>
            <w:r w:rsidRPr="007912C2">
              <w:rPr>
                <w:lang w:val="it-IT"/>
              </w:rPr>
              <w:t>L’ente amministrativo della Forza Armata , a vari livelli a seconda della Forza Armata, ha inoltre il compito di effettuare l’ultima validazione sui dati utili al riconoscimento del trattamento spettante.</w:t>
            </w:r>
          </w:p>
          <w:p w:rsidR="007912C2" w:rsidRPr="007912C2" w:rsidRDefault="007912C2" w:rsidP="007912C2">
            <w:pPr>
              <w:spacing w:before="100" w:beforeAutospacing="1" w:line="276" w:lineRule="auto"/>
              <w:jc w:val="both"/>
              <w:rPr>
                <w:lang w:val="it-IT"/>
              </w:rPr>
            </w:pPr>
            <w:r w:rsidRPr="007912C2">
              <w:rPr>
                <w:lang w:val="it-IT"/>
              </w:rPr>
              <w:t>Raccolti i dati, cristallizzati il giorno 4 o 5 di ogni mese, il sistema stipendiale del CUSI-BDUS si occupa di eseguire i seguenti calcoli e attribuire la condizione più favorevole per l’amministrato:</w:t>
            </w:r>
          </w:p>
          <w:p w:rsidR="007912C2" w:rsidRPr="007912C2" w:rsidRDefault="007912C2" w:rsidP="007912C2">
            <w:pPr>
              <w:spacing w:line="276" w:lineRule="auto"/>
              <w:ind w:left="426" w:hanging="294"/>
              <w:jc w:val="both"/>
              <w:rPr>
                <w:lang w:val="it-IT"/>
              </w:rPr>
            </w:pPr>
            <w:r w:rsidRPr="007912C2">
              <w:rPr>
                <w:lang w:val="it-IT"/>
              </w:rPr>
              <w:t>-</w:t>
            </w:r>
            <w:r w:rsidRPr="007912C2">
              <w:rPr>
                <w:sz w:val="14"/>
                <w:szCs w:val="14"/>
                <w:lang w:val="it-IT"/>
              </w:rPr>
              <w:t xml:space="preserve">        </w:t>
            </w:r>
            <w:r w:rsidRPr="007912C2">
              <w:rPr>
                <w:b/>
                <w:bCs/>
                <w:lang w:val="it-IT"/>
              </w:rPr>
              <w:t>calcolo dell’anzianità di servizio</w:t>
            </w:r>
            <w:r w:rsidRPr="007912C2">
              <w:rPr>
                <w:lang w:val="it-IT"/>
              </w:rPr>
              <w:t>: viene eventualmente ricalcolata al fine di aggiornare  la fascia retributiva (es. passaggio dall’indennità operativa di base prevista per la fascia “1° M.llo” a quella prevista per “1° M.llo + 25”), tenendo anche conto delle variazioni di sospensione/riduzione comunicate dalla periferia;</w:t>
            </w:r>
          </w:p>
          <w:p w:rsidR="007912C2" w:rsidRPr="007912C2" w:rsidRDefault="007912C2" w:rsidP="007912C2">
            <w:pPr>
              <w:spacing w:line="276" w:lineRule="auto"/>
              <w:ind w:left="426" w:hanging="294"/>
              <w:jc w:val="both"/>
              <w:rPr>
                <w:lang w:val="it-IT"/>
              </w:rPr>
            </w:pPr>
            <w:r w:rsidRPr="007912C2">
              <w:rPr>
                <w:lang w:val="it-IT"/>
              </w:rPr>
              <w:t>-</w:t>
            </w:r>
            <w:r w:rsidRPr="007912C2">
              <w:rPr>
                <w:sz w:val="14"/>
                <w:szCs w:val="14"/>
                <w:lang w:val="it-IT"/>
              </w:rPr>
              <w:t xml:space="preserve">        </w:t>
            </w:r>
            <w:r w:rsidRPr="007912C2">
              <w:rPr>
                <w:b/>
                <w:bCs/>
                <w:lang w:val="it-IT"/>
              </w:rPr>
              <w:t>calcolo dell’indennità operativa di base</w:t>
            </w:r>
            <w:r w:rsidRPr="007912C2">
              <w:rPr>
                <w:lang w:val="it-IT"/>
              </w:rPr>
              <w:t>: in base alla fascia retributiva (determinata in relazione all’anzianità di servizio, al grado e solo per gli ufficiali alla data di nomina a ufficiale) viene individuata l’indennità operativa di base di riferimento;</w:t>
            </w:r>
          </w:p>
          <w:p w:rsidR="007912C2" w:rsidRPr="007912C2" w:rsidRDefault="007912C2" w:rsidP="007912C2">
            <w:pPr>
              <w:spacing w:line="276" w:lineRule="auto"/>
              <w:ind w:left="426" w:hanging="294"/>
              <w:jc w:val="both"/>
              <w:rPr>
                <w:lang w:val="it-IT"/>
              </w:rPr>
            </w:pPr>
            <w:r w:rsidRPr="007912C2">
              <w:rPr>
                <w:lang w:val="it-IT"/>
              </w:rPr>
              <w:t>-</w:t>
            </w:r>
            <w:r w:rsidRPr="007912C2">
              <w:rPr>
                <w:sz w:val="14"/>
                <w:szCs w:val="14"/>
                <w:lang w:val="it-IT"/>
              </w:rPr>
              <w:t xml:space="preserve">        </w:t>
            </w:r>
            <w:r w:rsidRPr="007912C2">
              <w:rPr>
                <w:b/>
                <w:bCs/>
                <w:lang w:val="it-IT"/>
              </w:rPr>
              <w:t>calcolo indennità di diritto spettante (fondamentale/supplementare/maggiorazioni/altre):</w:t>
            </w:r>
            <w:r w:rsidRPr="007912C2">
              <w:rPr>
                <w:lang w:val="it-IT"/>
              </w:rPr>
              <w:t xml:space="preserve"> si possono presentare due condizioni differenti che modificano l’elenco delle indennità spettanti:</w:t>
            </w:r>
          </w:p>
          <w:p w:rsidR="007912C2" w:rsidRPr="007912C2" w:rsidRDefault="007912C2" w:rsidP="007912C2">
            <w:pPr>
              <w:pStyle w:val="Paragrafoelenco"/>
              <w:spacing w:before="0" w:beforeAutospacing="0" w:after="0" w:afterAutospacing="0" w:line="276" w:lineRule="auto"/>
              <w:ind w:left="851" w:hanging="360"/>
              <w:jc w:val="both"/>
              <w:rPr>
                <w:lang w:val="it-IT"/>
              </w:rPr>
            </w:pPr>
            <w:r>
              <w:rPr>
                <w:rFonts w:ascii="Symbol" w:hAnsi="Symbol"/>
              </w:rPr>
              <w:t></w:t>
            </w:r>
            <w:r w:rsidRPr="007912C2">
              <w:rPr>
                <w:sz w:val="14"/>
                <w:szCs w:val="14"/>
                <w:lang w:val="it-IT"/>
              </w:rPr>
              <w:t xml:space="preserve">         </w:t>
            </w:r>
            <w:r w:rsidRPr="007912C2">
              <w:rPr>
                <w:lang w:val="it-IT"/>
              </w:rPr>
              <w:t>viene verificata la presenza di nuove indennità e calcolate le nuove spettanze;</w:t>
            </w:r>
          </w:p>
          <w:p w:rsidR="007912C2" w:rsidRPr="007912C2" w:rsidRDefault="007912C2" w:rsidP="007912C2">
            <w:pPr>
              <w:pStyle w:val="Paragrafoelenco"/>
              <w:spacing w:before="0" w:beforeAutospacing="0" w:after="0" w:afterAutospacing="0" w:line="276" w:lineRule="auto"/>
              <w:ind w:left="851" w:hanging="360"/>
              <w:jc w:val="both"/>
              <w:rPr>
                <w:lang w:val="it-IT"/>
              </w:rPr>
            </w:pPr>
            <w:r>
              <w:rPr>
                <w:rFonts w:ascii="Symbol" w:hAnsi="Symbol"/>
              </w:rPr>
              <w:t></w:t>
            </w:r>
            <w:r w:rsidRPr="007912C2">
              <w:rPr>
                <w:sz w:val="14"/>
                <w:szCs w:val="14"/>
                <w:lang w:val="it-IT"/>
              </w:rPr>
              <w:t xml:space="preserve">         </w:t>
            </w:r>
            <w:r w:rsidRPr="007912C2">
              <w:rPr>
                <w:lang w:val="it-IT"/>
              </w:rPr>
              <w:t>cambiano le condizioni che determinano l’indennità corrente e ricalcolate le spettanze;</w:t>
            </w:r>
          </w:p>
          <w:p w:rsidR="007912C2" w:rsidRPr="007912C2" w:rsidRDefault="007912C2" w:rsidP="007912C2">
            <w:pPr>
              <w:spacing w:after="120" w:line="276" w:lineRule="auto"/>
              <w:ind w:left="426" w:hanging="295"/>
              <w:jc w:val="both"/>
              <w:rPr>
                <w:lang w:val="it-IT"/>
              </w:rPr>
            </w:pPr>
            <w:r w:rsidRPr="007912C2">
              <w:rPr>
                <w:lang w:val="it-IT"/>
              </w:rPr>
              <w:t>-</w:t>
            </w:r>
            <w:r w:rsidRPr="007912C2">
              <w:rPr>
                <w:sz w:val="14"/>
                <w:szCs w:val="14"/>
                <w:lang w:val="it-IT"/>
              </w:rPr>
              <w:t xml:space="preserve">        </w:t>
            </w:r>
            <w:r w:rsidRPr="007912C2">
              <w:rPr>
                <w:b/>
                <w:bCs/>
                <w:lang w:val="it-IT"/>
              </w:rPr>
              <w:t>calcolo della tredicesima spettante</w:t>
            </w:r>
            <w:r w:rsidRPr="007912C2">
              <w:rPr>
                <w:lang w:val="it-IT"/>
              </w:rPr>
              <w:t xml:space="preserve">: a fine anno, per ogni voce di indennità percepita (base+trascinamento/fondamentale/altre) viene calcolato il rateo di tredicesima spettante, che contribuisce al valore della tredicesima pagata a dicembre o a fine servizio. </w:t>
            </w:r>
          </w:p>
          <w:p w:rsidR="007912C2" w:rsidRPr="007912C2" w:rsidRDefault="007912C2" w:rsidP="007912C2">
            <w:pPr>
              <w:spacing w:before="100" w:beforeAutospacing="1" w:line="276" w:lineRule="auto"/>
              <w:jc w:val="both"/>
              <w:rPr>
                <w:lang w:val="it-IT"/>
              </w:rPr>
            </w:pPr>
            <w:r w:rsidRPr="007912C2">
              <w:rPr>
                <w:lang w:val="it-IT"/>
              </w:rPr>
              <w:t>Il sistema stipendiale BDUS si occupa inoltre di effettuare dei controlli di coerenza tra gli importi spettanti, tra i quali:</w:t>
            </w:r>
          </w:p>
          <w:p w:rsidR="007912C2" w:rsidRPr="007912C2" w:rsidRDefault="007912C2" w:rsidP="007912C2">
            <w:pPr>
              <w:spacing w:line="276" w:lineRule="auto"/>
              <w:ind w:left="426" w:hanging="283"/>
              <w:jc w:val="both"/>
              <w:rPr>
                <w:lang w:val="it-IT"/>
              </w:rPr>
            </w:pPr>
            <w:r w:rsidRPr="007912C2">
              <w:rPr>
                <w:lang w:val="it-IT"/>
              </w:rPr>
              <w:t>-</w:t>
            </w:r>
            <w:r w:rsidRPr="007912C2">
              <w:rPr>
                <w:sz w:val="14"/>
                <w:szCs w:val="14"/>
                <w:lang w:val="it-IT"/>
              </w:rPr>
              <w:t xml:space="preserve">       </w:t>
            </w:r>
            <w:r w:rsidRPr="007912C2">
              <w:rPr>
                <w:lang w:val="it-IT"/>
              </w:rPr>
              <w:t>la non cumulabilità tra le indennità di tipo fondamentale (salvo le previste eccezioni): in caso di diritto a più indennità di questo tipo viene scelta la più favorevole;</w:t>
            </w:r>
          </w:p>
          <w:p w:rsidR="007912C2" w:rsidRPr="007912C2" w:rsidRDefault="007912C2" w:rsidP="007912C2">
            <w:pPr>
              <w:spacing w:line="276" w:lineRule="auto"/>
              <w:ind w:left="426" w:hanging="283"/>
              <w:jc w:val="both"/>
              <w:rPr>
                <w:lang w:val="it-IT"/>
              </w:rPr>
            </w:pPr>
            <w:r w:rsidRPr="007912C2">
              <w:rPr>
                <w:lang w:val="it-IT"/>
              </w:rPr>
              <w:t>-</w:t>
            </w:r>
            <w:r w:rsidRPr="007912C2">
              <w:rPr>
                <w:sz w:val="14"/>
                <w:szCs w:val="14"/>
                <w:lang w:val="it-IT"/>
              </w:rPr>
              <w:t xml:space="preserve">       </w:t>
            </w:r>
            <w:r w:rsidRPr="007912C2">
              <w:rPr>
                <w:lang w:val="it-IT"/>
              </w:rPr>
              <w:t>la presenza di condizioni di sospensione/riduzione del trattamento economico ovvero delle situazioni previste dalla L. 78/83, articolo 17, ottavo comma (vedi para 1. lettera e), sospendendo  o riducendo in automatico l’indennità fondamentale o supplementare e sostituendola con l’indennità operativa di base e le quote maturate a titolo di trascinamento.</w:t>
            </w:r>
          </w:p>
          <w:p w:rsidR="007912C2" w:rsidRPr="007912C2" w:rsidRDefault="007912C2" w:rsidP="007912C2">
            <w:pPr>
              <w:spacing w:before="100" w:beforeAutospacing="1" w:line="276" w:lineRule="auto"/>
              <w:jc w:val="both"/>
              <w:rPr>
                <w:lang w:val="it-IT"/>
              </w:rPr>
            </w:pPr>
            <w:r w:rsidRPr="007912C2">
              <w:rPr>
                <w:lang w:val="it-IT"/>
              </w:rPr>
              <w:t>Al termine delle elaborazioni, vengono inviati i dati al sistema NoiPA (entro il 12) per l’applicazione economica delle spettanze (assegni, variazioni di qualifica ecc…).</w:t>
            </w:r>
          </w:p>
          <w:p w:rsidR="007912C2" w:rsidRPr="007912C2" w:rsidRDefault="007912C2" w:rsidP="007912C2">
            <w:pPr>
              <w:pStyle w:val="Titolo4"/>
              <w:rPr>
                <w:lang w:val="it-IT"/>
              </w:rPr>
            </w:pPr>
            <w:r w:rsidRPr="007912C2">
              <w:rPr>
                <w:lang w:val="it-IT"/>
              </w:rPr>
              <w:t>2.1.1 Calcolo e attribuzione dell’indennità di trascinamento</w:t>
            </w:r>
          </w:p>
          <w:p w:rsidR="007912C2" w:rsidRPr="007912C2" w:rsidRDefault="007912C2" w:rsidP="007912C2">
            <w:pPr>
              <w:spacing w:before="240" w:line="276" w:lineRule="auto"/>
              <w:jc w:val="both"/>
              <w:rPr>
                <w:lang w:val="it-IT"/>
              </w:rPr>
            </w:pPr>
            <w:r w:rsidRPr="007912C2">
              <w:rPr>
                <w:lang w:val="it-IT"/>
              </w:rPr>
              <w:t xml:space="preserve">Il sistema CUSI-BDUS produce </w:t>
            </w:r>
            <w:r w:rsidRPr="007912C2">
              <w:rPr>
                <w:i/>
                <w:iCs/>
                <w:lang w:val="it-IT"/>
              </w:rPr>
              <w:t>on-demand</w:t>
            </w:r>
            <w:r w:rsidRPr="007912C2">
              <w:rPr>
                <w:lang w:val="it-IT"/>
              </w:rPr>
              <w:t xml:space="preserve"> un atto dispositivo nel quale sono riepilogate tutte le indennità operative spettanti nel tempo in relazione all’impiego e calcolate le percentuali di trascinamento maturate per ogni tipologia di indennità (fondamentale/supplementare/aggiuntiva).</w:t>
            </w:r>
          </w:p>
          <w:p w:rsidR="007912C2" w:rsidRPr="007912C2" w:rsidRDefault="007912C2" w:rsidP="007912C2">
            <w:pPr>
              <w:spacing w:before="100" w:beforeAutospacing="1" w:line="276" w:lineRule="auto"/>
              <w:jc w:val="both"/>
              <w:rPr>
                <w:lang w:val="it-IT"/>
              </w:rPr>
            </w:pPr>
            <w:r w:rsidRPr="007912C2">
              <w:rPr>
                <w:lang w:val="it-IT"/>
              </w:rPr>
              <w:t xml:space="preserve">Per l’applicazione economica è necessario che l’atto dispositivo sia validato dal capo dell’ente amministrativo e dal centro stipendiale della Forza Armata (super-validazione). Le fasi di validazione vengono gestite accedendo al sistema </w:t>
            </w:r>
            <w:r w:rsidRPr="007912C2">
              <w:rPr>
                <w:lang w:val="it-IT"/>
              </w:rPr>
              <w:lastRenderedPageBreak/>
              <w:t>gestionale del CUSI-BDUS, che mostra per ogni dato le varie fasi del processo di validazione e gli attori responsabili della validazione.</w:t>
            </w:r>
          </w:p>
          <w:p w:rsidR="007912C2" w:rsidRPr="007912C2" w:rsidRDefault="007912C2" w:rsidP="007912C2">
            <w:pPr>
              <w:spacing w:before="100" w:beforeAutospacing="1" w:line="276" w:lineRule="auto"/>
              <w:jc w:val="both"/>
              <w:rPr>
                <w:lang w:val="it-IT"/>
              </w:rPr>
            </w:pPr>
            <w:r w:rsidRPr="007912C2">
              <w:rPr>
                <w:lang w:val="it-IT"/>
              </w:rPr>
              <w:t xml:space="preserve">Data la natura </w:t>
            </w:r>
            <w:r w:rsidRPr="007912C2">
              <w:rPr>
                <w:i/>
                <w:iCs/>
                <w:lang w:val="it-IT"/>
              </w:rPr>
              <w:t xml:space="preserve">dinamica </w:t>
            </w:r>
            <w:r w:rsidRPr="007912C2">
              <w:rPr>
                <w:lang w:val="it-IT"/>
              </w:rPr>
              <w:t>dell’istituto del trascinamento, la misura dello stesso deve essere ricalcolata  con frequenza annuale.</w:t>
            </w:r>
          </w:p>
          <w:p w:rsidR="007912C2" w:rsidRPr="007912C2" w:rsidRDefault="007912C2" w:rsidP="007912C2">
            <w:pPr>
              <w:spacing w:before="100" w:beforeAutospacing="1" w:line="276" w:lineRule="auto"/>
              <w:jc w:val="both"/>
              <w:rPr>
                <w:lang w:val="it-IT"/>
              </w:rPr>
            </w:pPr>
            <w:r w:rsidRPr="007912C2">
              <w:rPr>
                <w:lang w:val="it-IT"/>
              </w:rPr>
              <w:t>Calcolato il valore della percentuale di trascinamento maturata alla data dell’ultimo atto dispositivo validato, il sistema attribuisce il trattamento economico più conveniente tra:</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indennità operativa di base + trascinamento calcolato con la percentuale presente sull’atto dispositivo;</w:t>
            </w:r>
          </w:p>
          <w:p w:rsidR="007912C2" w:rsidRPr="007912C2" w:rsidRDefault="007912C2" w:rsidP="007912C2">
            <w:pPr>
              <w:spacing w:line="276" w:lineRule="auto"/>
              <w:ind w:left="284" w:hanging="283"/>
              <w:jc w:val="both"/>
              <w:rPr>
                <w:lang w:val="it-IT"/>
              </w:rPr>
            </w:pPr>
            <w:r w:rsidRPr="007912C2">
              <w:rPr>
                <w:lang w:val="it-IT"/>
              </w:rPr>
              <w:t>-</w:t>
            </w:r>
            <w:r w:rsidRPr="007912C2">
              <w:rPr>
                <w:sz w:val="14"/>
                <w:szCs w:val="14"/>
                <w:lang w:val="it-IT"/>
              </w:rPr>
              <w:t xml:space="preserve">        </w:t>
            </w:r>
            <w:r w:rsidRPr="007912C2">
              <w:rPr>
                <w:lang w:val="it-IT"/>
              </w:rPr>
              <w:t>indennità operativa fondamentale spettante (indennità di diritto).</w:t>
            </w:r>
          </w:p>
          <w:p w:rsidR="007912C2" w:rsidRPr="007912C2" w:rsidRDefault="007912C2" w:rsidP="007912C2">
            <w:pPr>
              <w:spacing w:before="100" w:beforeAutospacing="1" w:line="276" w:lineRule="auto"/>
              <w:jc w:val="both"/>
              <w:rPr>
                <w:lang w:val="it-IT"/>
              </w:rPr>
            </w:pPr>
            <w:r w:rsidRPr="007912C2">
              <w:rPr>
                <w:lang w:val="it-IT"/>
              </w:rPr>
              <w:t>Un ulteriore confronto è effettuato tra l’importo del solo trascinamento dell’indennità supplementare connessa al volo e l’indennità supplementare connessa al volo spettante al fine dell’attribuzione della più favorevole.</w:t>
            </w:r>
          </w:p>
          <w:p w:rsidR="007912C2" w:rsidRPr="007912C2" w:rsidRDefault="007912C2" w:rsidP="007912C2">
            <w:pPr>
              <w:spacing w:before="100" w:beforeAutospacing="1" w:line="276" w:lineRule="auto"/>
              <w:jc w:val="both"/>
              <w:rPr>
                <w:lang w:val="it-IT"/>
              </w:rPr>
            </w:pPr>
            <w:r w:rsidRPr="007912C2">
              <w:rPr>
                <w:b/>
                <w:bCs/>
                <w:u w:val="single"/>
                <w:lang w:val="it-IT"/>
              </w:rPr>
              <w:t> </w:t>
            </w:r>
          </w:p>
          <w:p w:rsidR="007912C2" w:rsidRPr="007912C2" w:rsidRDefault="007912C2" w:rsidP="007912C2">
            <w:pPr>
              <w:spacing w:before="100" w:beforeAutospacing="1" w:after="100" w:afterAutospacing="1"/>
              <w:rPr>
                <w:lang w:val="it-IT"/>
              </w:rPr>
            </w:pPr>
          </w:p>
          <w:p w:rsidR="007912C2" w:rsidRPr="007912C2" w:rsidRDefault="007912C2" w:rsidP="007912C2">
            <w:pPr>
              <w:pStyle w:val="Titolo2"/>
              <w:spacing w:before="40" w:beforeAutospacing="0" w:after="120" w:afterAutospacing="0"/>
              <w:ind w:left="426" w:hanging="426"/>
              <w:rPr>
                <w:lang w:val="it-IT"/>
              </w:rPr>
            </w:pPr>
            <w:bookmarkStart w:id="22" w:name="_Toc4422795"/>
            <w:r w:rsidRPr="007912C2">
              <w:rPr>
                <w:lang w:val="it-IT"/>
              </w:rPr>
              <w:t>2.2 Caratteristiche del nuovo sistema CUSI-NoiPA</w:t>
            </w:r>
            <w:bookmarkEnd w:id="22"/>
          </w:p>
          <w:p w:rsidR="007912C2" w:rsidRPr="007912C2" w:rsidRDefault="007912C2" w:rsidP="007912C2">
            <w:pPr>
              <w:spacing w:before="100" w:beforeAutospacing="1" w:after="120"/>
              <w:jc w:val="both"/>
              <w:rPr>
                <w:lang w:val="it-IT"/>
              </w:rPr>
            </w:pPr>
            <w:r w:rsidRPr="007912C2">
              <w:rPr>
                <w:lang w:val="it-IT"/>
              </w:rPr>
              <w:t xml:space="preserve">L’obiettivo finale è quello di gestire il processo di individuazione, controllo, calcolo e applicazione economica di tutti gli istituti economici connessi alle indennità d’impiego operativo, relative al personale in servizio e al personale cessato dal servizio (limitatamente alle spettanze relative all’ultimo mese di servizio ed ai ratei di tredicesima), a partire dai dati giuridici comunicati dalle forze armate e utilizzando le configurazioni di sistema, rendendo più efficiente l’attuale processo descritto. </w:t>
            </w:r>
          </w:p>
          <w:p w:rsidR="007912C2" w:rsidRPr="007912C2" w:rsidRDefault="007912C2" w:rsidP="007912C2">
            <w:pPr>
              <w:spacing w:before="100" w:beforeAutospacing="1" w:after="120"/>
              <w:jc w:val="both"/>
              <w:rPr>
                <w:lang w:val="it-IT"/>
              </w:rPr>
            </w:pPr>
            <w:r w:rsidRPr="007912C2">
              <w:rPr>
                <w:lang w:val="it-IT"/>
              </w:rPr>
              <w:t>A tal fine sono previste le seguenti fasi di realizzazione:</w:t>
            </w:r>
          </w:p>
          <w:p w:rsidR="007912C2" w:rsidRPr="007912C2" w:rsidRDefault="007912C2" w:rsidP="007912C2">
            <w:pPr>
              <w:pStyle w:val="Paragrafoelenco"/>
              <w:spacing w:before="0" w:beforeAutospacing="0" w:after="120" w:afterAutospacing="0"/>
              <w:jc w:val="both"/>
              <w:rPr>
                <w:lang w:val="it-IT"/>
              </w:rPr>
            </w:pPr>
            <w:r w:rsidRPr="007912C2">
              <w:rPr>
                <w:b/>
                <w:bCs/>
                <w:lang w:val="it-IT"/>
              </w:rPr>
              <w:t>Fase 1</w:t>
            </w:r>
            <w:r w:rsidRPr="007912C2">
              <w:rPr>
                <w:lang w:val="it-IT"/>
              </w:rPr>
              <w:t>) individuazione, calcolo e assegnazione delle indennità operative spettanti;</w:t>
            </w:r>
          </w:p>
          <w:p w:rsidR="007912C2" w:rsidRPr="007912C2" w:rsidRDefault="007912C2" w:rsidP="007912C2">
            <w:pPr>
              <w:spacing w:before="100" w:beforeAutospacing="1" w:after="120"/>
              <w:jc w:val="both"/>
              <w:rPr>
                <w:lang w:val="it-IT"/>
              </w:rPr>
            </w:pPr>
            <w:r w:rsidRPr="007912C2">
              <w:rPr>
                <w:lang w:val="it-IT"/>
              </w:rPr>
              <w:t>Nel dettaglio, al termine di questa fase, il sistema dovrà essere in grado di:</w:t>
            </w:r>
          </w:p>
          <w:p w:rsidR="007912C2" w:rsidRPr="007912C2" w:rsidRDefault="007912C2" w:rsidP="007912C2">
            <w:pPr>
              <w:pStyle w:val="Paragrafoelenco"/>
              <w:spacing w:before="0" w:beforeAutospacing="0" w:after="120" w:afterAutospacing="0"/>
              <w:ind w:left="360" w:hanging="360"/>
              <w:jc w:val="both"/>
              <w:rPr>
                <w:lang w:val="it-IT"/>
              </w:rPr>
            </w:pPr>
            <w:r w:rsidRPr="007912C2">
              <w:rPr>
                <w:lang w:val="it-IT"/>
              </w:rPr>
              <w:t>a)</w:t>
            </w:r>
            <w:r w:rsidRPr="007912C2">
              <w:rPr>
                <w:sz w:val="14"/>
                <w:szCs w:val="14"/>
                <w:lang w:val="it-IT"/>
              </w:rPr>
              <w:t xml:space="preserve">       </w:t>
            </w:r>
            <w:r w:rsidRPr="007912C2">
              <w:rPr>
                <w:lang w:val="it-IT"/>
              </w:rPr>
              <w:t>determinare:</w:t>
            </w:r>
          </w:p>
          <w:p w:rsidR="007912C2" w:rsidRPr="007912C2" w:rsidRDefault="007912C2" w:rsidP="007912C2">
            <w:pPr>
              <w:pStyle w:val="Paragrafoelenco"/>
              <w:spacing w:after="120" w:afterAutospacing="0"/>
              <w:ind w:hanging="360"/>
              <w:jc w:val="both"/>
              <w:rPr>
                <w:lang w:val="it-IT"/>
              </w:rPr>
            </w:pPr>
            <w:r>
              <w:rPr>
                <w:rFonts w:ascii="Symbol" w:hAnsi="Symbol"/>
              </w:rPr>
              <w:t></w:t>
            </w:r>
            <w:r w:rsidRPr="007912C2">
              <w:rPr>
                <w:sz w:val="14"/>
                <w:szCs w:val="14"/>
                <w:lang w:val="it-IT"/>
              </w:rPr>
              <w:t xml:space="preserve">         </w:t>
            </w:r>
            <w:r w:rsidRPr="007912C2">
              <w:rPr>
                <w:lang w:val="it-IT"/>
              </w:rPr>
              <w:t>le indennità di impiego operativo fondamentali;</w:t>
            </w:r>
          </w:p>
          <w:p w:rsidR="007912C2" w:rsidRPr="007912C2" w:rsidRDefault="007912C2" w:rsidP="007912C2">
            <w:pPr>
              <w:pStyle w:val="Paragrafoelenco"/>
              <w:spacing w:after="120" w:afterAutospacing="0"/>
              <w:ind w:hanging="360"/>
              <w:jc w:val="both"/>
              <w:rPr>
                <w:lang w:val="it-IT"/>
              </w:rPr>
            </w:pPr>
            <w:r>
              <w:rPr>
                <w:rFonts w:ascii="Symbol" w:hAnsi="Symbol"/>
              </w:rPr>
              <w:t></w:t>
            </w:r>
            <w:r w:rsidRPr="007912C2">
              <w:rPr>
                <w:sz w:val="14"/>
                <w:szCs w:val="14"/>
                <w:lang w:val="it-IT"/>
              </w:rPr>
              <w:t xml:space="preserve">         </w:t>
            </w:r>
            <w:r w:rsidRPr="007912C2">
              <w:rPr>
                <w:lang w:val="it-IT"/>
              </w:rPr>
              <w:t>le indennità di impiego supplementari;</w:t>
            </w:r>
          </w:p>
          <w:p w:rsidR="007912C2" w:rsidRPr="007912C2" w:rsidRDefault="007912C2" w:rsidP="007912C2">
            <w:pPr>
              <w:pStyle w:val="Paragrafoelenco"/>
              <w:spacing w:after="120" w:afterAutospacing="0"/>
              <w:ind w:hanging="360"/>
              <w:jc w:val="both"/>
              <w:rPr>
                <w:lang w:val="it-IT"/>
              </w:rPr>
            </w:pPr>
            <w:r>
              <w:rPr>
                <w:rFonts w:ascii="Symbol" w:hAnsi="Symbol"/>
              </w:rPr>
              <w:t></w:t>
            </w:r>
            <w:r w:rsidRPr="007912C2">
              <w:rPr>
                <w:sz w:val="14"/>
                <w:szCs w:val="14"/>
                <w:lang w:val="it-IT"/>
              </w:rPr>
              <w:t xml:space="preserve">         </w:t>
            </w:r>
            <w:r w:rsidRPr="007912C2">
              <w:rPr>
                <w:lang w:val="it-IT"/>
              </w:rPr>
              <w:t>il trascinamento delle indennità fondamentali e supplementari (per quest’ultime laddove previsto);</w:t>
            </w:r>
          </w:p>
          <w:p w:rsidR="007912C2" w:rsidRPr="007912C2" w:rsidRDefault="007912C2" w:rsidP="007912C2">
            <w:pPr>
              <w:pStyle w:val="Paragrafoelenco"/>
              <w:spacing w:after="120" w:afterAutospacing="0"/>
              <w:ind w:hanging="360"/>
              <w:jc w:val="both"/>
              <w:rPr>
                <w:lang w:val="it-IT"/>
              </w:rPr>
            </w:pPr>
            <w:r>
              <w:rPr>
                <w:rFonts w:ascii="Symbol" w:hAnsi="Symbol"/>
              </w:rPr>
              <w:t></w:t>
            </w:r>
            <w:r w:rsidRPr="007912C2">
              <w:rPr>
                <w:sz w:val="14"/>
                <w:szCs w:val="14"/>
                <w:lang w:val="it-IT"/>
              </w:rPr>
              <w:t xml:space="preserve">         </w:t>
            </w:r>
            <w:r w:rsidRPr="007912C2">
              <w:rPr>
                <w:lang w:val="it-IT"/>
              </w:rPr>
              <w:t>l’indennità aggiuntiva per stabilimenti militari di pena e relativo trascinamento;</w:t>
            </w:r>
          </w:p>
          <w:p w:rsidR="007912C2" w:rsidRPr="007912C2" w:rsidRDefault="007912C2" w:rsidP="007912C2">
            <w:pPr>
              <w:pStyle w:val="Paragrafoelenco"/>
              <w:spacing w:before="0" w:beforeAutospacing="0" w:after="120" w:afterAutospacing="0"/>
              <w:ind w:left="360" w:hanging="360"/>
              <w:jc w:val="both"/>
              <w:rPr>
                <w:lang w:val="it-IT"/>
              </w:rPr>
            </w:pPr>
            <w:r w:rsidRPr="007912C2">
              <w:rPr>
                <w:lang w:val="it-IT"/>
              </w:rPr>
              <w:t>b)</w:t>
            </w:r>
            <w:r w:rsidRPr="007912C2">
              <w:rPr>
                <w:sz w:val="14"/>
                <w:szCs w:val="14"/>
                <w:lang w:val="it-IT"/>
              </w:rPr>
              <w:t xml:space="preserve">      </w:t>
            </w:r>
            <w:r w:rsidRPr="007912C2">
              <w:rPr>
                <w:lang w:val="it-IT"/>
              </w:rPr>
              <w:t>Predisporre L’atto dispositivo con cui attribuire la percentuale di trascinamento delle indennità fondamentali e supplementari</w:t>
            </w:r>
          </w:p>
          <w:p w:rsidR="007912C2" w:rsidRPr="007912C2" w:rsidRDefault="007912C2" w:rsidP="007912C2">
            <w:pPr>
              <w:pStyle w:val="Paragrafoelenco"/>
              <w:spacing w:before="0" w:beforeAutospacing="0" w:after="120" w:afterAutospacing="0"/>
              <w:ind w:left="360"/>
              <w:jc w:val="both"/>
              <w:rPr>
                <w:lang w:val="it-IT"/>
              </w:rPr>
            </w:pPr>
            <w:r w:rsidRPr="007912C2">
              <w:rPr>
                <w:lang w:val="it-IT"/>
              </w:rPr>
              <w:t> </w:t>
            </w:r>
          </w:p>
          <w:p w:rsidR="007912C2" w:rsidRPr="007912C2" w:rsidRDefault="007912C2" w:rsidP="007912C2">
            <w:pPr>
              <w:pStyle w:val="Paragrafoelenco"/>
              <w:spacing w:before="0" w:beforeAutospacing="0" w:after="120" w:afterAutospacing="0"/>
              <w:jc w:val="both"/>
              <w:rPr>
                <w:lang w:val="it-IT"/>
              </w:rPr>
            </w:pPr>
            <w:r w:rsidRPr="007912C2">
              <w:rPr>
                <w:b/>
                <w:bCs/>
                <w:lang w:val="it-IT"/>
              </w:rPr>
              <w:t>Fase 2</w:t>
            </w:r>
            <w:r w:rsidRPr="007912C2">
              <w:rPr>
                <w:lang w:val="it-IT"/>
              </w:rPr>
              <w:t xml:space="preserve">) gestione automatizzata delle progressioni di carriera che non verrà descritta in questo documento. </w:t>
            </w:r>
          </w:p>
          <w:p w:rsidR="007912C2" w:rsidRPr="007912C2" w:rsidRDefault="007912C2" w:rsidP="007912C2">
            <w:pPr>
              <w:spacing w:before="100" w:beforeAutospacing="1" w:after="120"/>
              <w:jc w:val="both"/>
              <w:rPr>
                <w:lang w:val="it-IT"/>
              </w:rPr>
            </w:pPr>
            <w:r w:rsidRPr="007912C2">
              <w:rPr>
                <w:lang w:val="it-IT"/>
              </w:rPr>
              <w:lastRenderedPageBreak/>
              <w:t> </w:t>
            </w:r>
          </w:p>
          <w:p w:rsidR="007912C2" w:rsidRPr="007912C2" w:rsidRDefault="007912C2" w:rsidP="007912C2">
            <w:pPr>
              <w:spacing w:before="100" w:beforeAutospacing="1" w:after="120"/>
              <w:jc w:val="both"/>
              <w:rPr>
                <w:lang w:val="it-IT"/>
              </w:rPr>
            </w:pPr>
            <w:r w:rsidRPr="007912C2">
              <w:rPr>
                <w:lang w:val="it-IT"/>
              </w:rPr>
              <w:t>Il sistema prevede un portale dedicato per le Forze Armate, con profili e funzionalità assegnati in relazione alla tipologia e livello di operatività degli utenti  </w:t>
            </w:r>
          </w:p>
          <w:p w:rsidR="007912C2" w:rsidRPr="007912C2" w:rsidRDefault="007912C2" w:rsidP="007912C2">
            <w:pPr>
              <w:spacing w:before="100" w:beforeAutospacing="1" w:after="120"/>
              <w:jc w:val="both"/>
              <w:rPr>
                <w:lang w:val="it-IT"/>
              </w:rPr>
            </w:pPr>
            <w:r w:rsidRPr="007912C2">
              <w:rPr>
                <w:lang w:val="it-IT"/>
              </w:rPr>
              <w:t xml:space="preserve">In tale progetto, la struttura del CUSI assume un ruolo di </w:t>
            </w:r>
            <w:r w:rsidRPr="007912C2">
              <w:rPr>
                <w:i/>
                <w:iCs/>
                <w:lang w:val="it-IT"/>
              </w:rPr>
              <w:t>governance</w:t>
            </w:r>
            <w:r w:rsidRPr="007912C2">
              <w:rPr>
                <w:lang w:val="it-IT"/>
              </w:rPr>
              <w:t xml:space="preserve"> nella gestione dei rapporti con le singole Forze Armate mettendo al centro dei processi gestionali l’amministrato, in totale sinergia con NoiPA.</w:t>
            </w:r>
          </w:p>
          <w:p w:rsidR="007912C2" w:rsidRPr="007912C2" w:rsidRDefault="007912C2" w:rsidP="007912C2">
            <w:pPr>
              <w:spacing w:before="100" w:beforeAutospacing="1" w:after="120"/>
              <w:jc w:val="both"/>
              <w:rPr>
                <w:lang w:val="it-IT"/>
              </w:rPr>
            </w:pPr>
            <w:r w:rsidRPr="007912C2">
              <w:rPr>
                <w:lang w:val="it-IT"/>
              </w:rPr>
              <w:t>Di seguito vengono descritte le funzionalità che il sistema CUSI-NoiPA deve avere per poter soddisfare le esigenze descritte nei paragrafi precedenti.</w:t>
            </w:r>
          </w:p>
          <w:p w:rsidR="007912C2" w:rsidRPr="007912C2" w:rsidRDefault="007912C2" w:rsidP="007912C2">
            <w:pPr>
              <w:rPr>
                <w:lang w:val="it-IT"/>
              </w:rPr>
            </w:pPr>
          </w:p>
          <w:p w:rsidR="007912C2" w:rsidRPr="007912C2" w:rsidRDefault="007912C2" w:rsidP="007912C2">
            <w:pPr>
              <w:rPr>
                <w:lang w:val="it-IT"/>
              </w:rPr>
            </w:pPr>
          </w:p>
          <w:p w:rsidR="007912C2" w:rsidRPr="007912C2" w:rsidRDefault="007912C2" w:rsidP="007912C2">
            <w:pPr>
              <w:rPr>
                <w:lang w:val="it-IT"/>
              </w:rPr>
            </w:pPr>
          </w:p>
          <w:p w:rsidR="007912C2" w:rsidRPr="007912C2" w:rsidRDefault="007912C2" w:rsidP="007912C2">
            <w:pPr>
              <w:rPr>
                <w:lang w:val="it-IT"/>
              </w:rPr>
            </w:pPr>
          </w:p>
          <w:p w:rsidR="007912C2" w:rsidRDefault="007912C2" w:rsidP="007912C2">
            <w:r>
              <w:pict>
                <v:rect id="_x0000_i1202" style="width:159.05pt;height:.75pt" o:hrpct="330" o:hrstd="t" o:hr="t" fillcolor="gray" stroked="f"/>
              </w:pict>
            </w:r>
          </w:p>
          <w:p w:rsidR="007912C2" w:rsidRPr="007912C2" w:rsidRDefault="007912C2" w:rsidP="007912C2">
            <w:pPr>
              <w:pStyle w:val="Testocommento"/>
              <w:rPr>
                <w:lang w:val="it-IT"/>
              </w:rPr>
            </w:pPr>
            <w:bookmarkStart w:id="23" w:name="_msocom_1"/>
            <w:bookmarkEnd w:id="23"/>
            <w:r w:rsidRPr="007912C2">
              <w:rPr>
                <w:rStyle w:val="Rimandocommento"/>
                <w:sz w:val="16"/>
                <w:szCs w:val="16"/>
                <w:lang w:val="it-IT"/>
              </w:rPr>
              <w:t> [STCS-S1]</w:t>
            </w:r>
            <w:r w:rsidRPr="007912C2">
              <w:rPr>
                <w:lang w:val="it-IT"/>
              </w:rPr>
              <w:t xml:space="preserve">La specificazione è necessaria perché l’estensione riguarda solo gli emolumenti fissi e continuativi (quindi SI per l’indennità d’impiego operativo fondamentale, NO per le indennità supplementari) </w:t>
            </w:r>
          </w:p>
          <w:permEnd w:id="1346261295"/>
          <w:p w:rsidR="007912C2" w:rsidRPr="007912C2" w:rsidRDefault="007912C2" w:rsidP="0059092F">
            <w:pPr>
              <w:keepLines/>
              <w:rPr>
                <w:rFonts w:ascii="Calibri" w:hAnsi="Calibri" w:cs="Calibri"/>
                <w:lang w:val="it-IT"/>
              </w:rPr>
            </w:pPr>
          </w:p>
        </w:tc>
        <w:tc>
          <w:tcPr>
            <w:tcW w:w="70" w:type="dxa"/>
            <w:tcBorders>
              <w:top w:val="nil"/>
              <w:left w:val="nil"/>
              <w:bottom w:val="nil"/>
              <w:right w:val="single" w:sz="4" w:space="0" w:color="auto"/>
            </w:tcBorders>
            <w:noWrap/>
            <w:tcMar>
              <w:top w:w="28" w:type="dxa"/>
              <w:left w:w="0" w:type="dxa"/>
              <w:bottom w:w="28" w:type="dxa"/>
              <w:right w:w="0" w:type="dxa"/>
            </w:tcMar>
            <w:vAlign w:val="center"/>
          </w:tcPr>
          <w:p w:rsidR="007912C2" w:rsidRPr="007912C2" w:rsidRDefault="007912C2" w:rsidP="0059092F">
            <w:pPr>
              <w:keepLines/>
              <w:jc w:val="both"/>
              <w:rPr>
                <w:rFonts w:ascii="Calibri" w:hAnsi="Calibri" w:cs="Calibri"/>
                <w:lang w:val="it-IT"/>
              </w:rPr>
            </w:pPr>
          </w:p>
        </w:tc>
      </w:tr>
      <w:tr w:rsidR="007912C2" w:rsidRPr="00D862FC" w:rsidTr="0098446A">
        <w:trPr>
          <w:trHeight w:hRule="exact" w:val="454"/>
          <w:jc w:val="center"/>
        </w:trPr>
        <w:tc>
          <w:tcPr>
            <w:tcW w:w="70" w:type="dxa"/>
            <w:tcBorders>
              <w:top w:val="nil"/>
              <w:bottom w:val="nil"/>
              <w:right w:val="nil"/>
            </w:tcBorders>
            <w:noWrap/>
            <w:tcMar>
              <w:top w:w="17" w:type="dxa"/>
              <w:left w:w="0" w:type="dxa"/>
              <w:bottom w:w="17" w:type="dxa"/>
              <w:right w:w="0" w:type="dxa"/>
            </w:tcMar>
            <w:vAlign w:val="bottom"/>
          </w:tcPr>
          <w:p w:rsidR="007912C2" w:rsidRPr="007912C2" w:rsidRDefault="007912C2" w:rsidP="00CF7945">
            <w:pPr>
              <w:keepNext/>
              <w:keepLines/>
              <w:rPr>
                <w:rFonts w:ascii="Calibri" w:hAnsi="Calibri" w:cs="Calibri"/>
                <w:szCs w:val="18"/>
                <w:lang w:val="it-IT"/>
              </w:rPr>
            </w:pPr>
          </w:p>
        </w:tc>
        <w:tc>
          <w:tcPr>
            <w:tcW w:w="10703" w:type="dxa"/>
            <w:gridSpan w:val="31"/>
            <w:tcBorders>
              <w:top w:val="nil"/>
              <w:left w:val="nil"/>
              <w:bottom w:val="nil"/>
              <w:right w:val="nil"/>
            </w:tcBorders>
            <w:shd w:val="clear" w:color="auto" w:fill="FFFFFF" w:themeFill="background1"/>
            <w:noWrap/>
            <w:tcMar>
              <w:top w:w="57" w:type="dxa"/>
              <w:left w:w="0" w:type="dxa"/>
              <w:bottom w:w="57" w:type="dxa"/>
              <w:right w:w="0" w:type="dxa"/>
            </w:tcMar>
            <w:vAlign w:val="bottom"/>
          </w:tcPr>
          <w:p w:rsidR="007912C2" w:rsidRPr="00D862FC" w:rsidRDefault="007912C2" w:rsidP="00CF7945">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D862FC">
              <w:rPr>
                <w:rFonts w:ascii="Calibri" w:hAnsi="Calibri" w:cs="Calibri"/>
                <w:b/>
                <w:i/>
                <w:sz w:val="26"/>
                <w:szCs w:val="26"/>
                <w:shd w:val="clear" w:color="auto" w:fill="F2F2F2" w:themeFill="background1" w:themeFillShade="F2"/>
              </w:rPr>
              <w:t>───  L I N K S  ───</w:t>
            </w:r>
          </w:p>
        </w:tc>
        <w:tc>
          <w:tcPr>
            <w:tcW w:w="70" w:type="dxa"/>
            <w:tcBorders>
              <w:top w:val="nil"/>
              <w:left w:val="nil"/>
              <w:bottom w:val="nil"/>
              <w:right w:val="single" w:sz="4" w:space="0" w:color="auto"/>
            </w:tcBorders>
            <w:noWrap/>
            <w:tcMar>
              <w:top w:w="17" w:type="dxa"/>
              <w:left w:w="0" w:type="dxa"/>
              <w:bottom w:w="17" w:type="dxa"/>
              <w:right w:w="0" w:type="dxa"/>
            </w:tcMar>
            <w:vAlign w:val="bottom"/>
          </w:tcPr>
          <w:p w:rsidR="007912C2" w:rsidRPr="00D862FC" w:rsidRDefault="007912C2" w:rsidP="00CF7945">
            <w:pPr>
              <w:keepNext/>
              <w:keepLines/>
              <w:rPr>
                <w:rFonts w:ascii="Calibri" w:hAnsi="Calibri" w:cs="Calibri"/>
                <w:szCs w:val="18"/>
              </w:rPr>
            </w:pPr>
          </w:p>
        </w:tc>
      </w:tr>
      <w:tr w:rsidR="007912C2" w:rsidRPr="00D862FC" w:rsidTr="0098446A">
        <w:trPr>
          <w:trHeight w:val="397"/>
          <w:jc w:val="center"/>
        </w:trPr>
        <w:tc>
          <w:tcPr>
            <w:tcW w:w="70" w:type="dxa"/>
            <w:tcBorders>
              <w:top w:val="nil"/>
              <w:bottom w:val="nil"/>
              <w:right w:val="nil"/>
            </w:tcBorders>
            <w:tcMar>
              <w:top w:w="28" w:type="dxa"/>
              <w:left w:w="0" w:type="dxa"/>
              <w:bottom w:w="28" w:type="dxa"/>
              <w:right w:w="0" w:type="dxa"/>
            </w:tcMar>
            <w:vAlign w:val="center"/>
          </w:tcPr>
          <w:p w:rsidR="007912C2" w:rsidRPr="00D862FC" w:rsidRDefault="007912C2" w:rsidP="00CF7945">
            <w:pPr>
              <w:keepNext/>
              <w:keepLines/>
              <w:rPr>
                <w:rFonts w:ascii="Calibri" w:hAnsi="Calibri" w:cs="Calibri"/>
              </w:rPr>
            </w:pPr>
          </w:p>
        </w:tc>
        <w:tc>
          <w:tcPr>
            <w:tcW w:w="1190" w:type="dxa"/>
            <w:gridSpan w:val="5"/>
            <w:tcBorders>
              <w:top w:val="nil"/>
              <w:left w:val="nil"/>
              <w:bottom w:val="single" w:sz="4" w:space="0" w:color="E7E6E6" w:themeColor="background2"/>
              <w:right w:val="nil"/>
            </w:tcBorders>
            <w:tcMar>
              <w:top w:w="0" w:type="dxa"/>
              <w:left w:w="0" w:type="dxa"/>
              <w:bottom w:w="0" w:type="dxa"/>
              <w:right w:w="11" w:type="dxa"/>
            </w:tcMar>
            <w:vAlign w:val="center"/>
          </w:tcPr>
          <w:p w:rsidR="007912C2" w:rsidRPr="00657300" w:rsidRDefault="007912C2" w:rsidP="00CF7945">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D862FC">
              <w:rPr>
                <w:rFonts w:ascii="Calibri" w:hAnsi="Calibri" w:cs="Calibri"/>
                <w:color w:val="000000" w:themeColor="text1"/>
                <w:szCs w:val="18"/>
              </w:rPr>
              <w:t>#</w:t>
            </w:r>
          </w:p>
        </w:tc>
        <w:tc>
          <w:tcPr>
            <w:tcW w:w="546" w:type="dxa"/>
            <w:tcBorders>
              <w:top w:val="nil"/>
              <w:left w:val="nil"/>
              <w:bottom w:val="single" w:sz="4" w:space="0" w:color="E7E6E6" w:themeColor="background2"/>
              <w:right w:val="nil"/>
            </w:tcBorders>
            <w:tcMar>
              <w:top w:w="0" w:type="dxa"/>
              <w:bottom w:w="0" w:type="dxa"/>
              <w:right w:w="113" w:type="dxa"/>
            </w:tcMar>
            <w:vAlign w:val="center"/>
          </w:tcPr>
          <w:p w:rsidR="007912C2" w:rsidRPr="00D862FC" w:rsidRDefault="007912C2" w:rsidP="00CF7945">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76" w:type="dxa"/>
            <w:tcBorders>
              <w:top w:val="nil"/>
              <w:left w:val="nil"/>
              <w:bottom w:val="single" w:sz="4" w:space="0" w:color="E7E6E6" w:themeColor="background2"/>
              <w:right w:val="nil"/>
            </w:tcBorders>
            <w:tcMar>
              <w:top w:w="0" w:type="dxa"/>
              <w:bottom w:w="0" w:type="dxa"/>
              <w:right w:w="11" w:type="dxa"/>
            </w:tcMar>
            <w:vAlign w:val="center"/>
          </w:tcPr>
          <w:p w:rsidR="007912C2" w:rsidRPr="00FA26AD" w:rsidRDefault="007912C2" w:rsidP="00CF7945">
            <w:pPr>
              <w:keepNext/>
              <w:keepLines/>
              <w:jc w:val="right"/>
              <w:rPr>
                <w:i/>
                <w:color w:val="808080" w:themeColor="background1" w:themeShade="80"/>
                <w:sz w:val="18"/>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D862FC">
              <w:rPr>
                <w:rFonts w:ascii="Calibri" w:hAnsi="Calibri" w:cs="Calibri"/>
                <w:color w:val="000000" w:themeColor="text1"/>
                <w:szCs w:val="18"/>
              </w:rPr>
              <w:t>#</w:t>
            </w:r>
          </w:p>
        </w:tc>
        <w:tc>
          <w:tcPr>
            <w:tcW w:w="434" w:type="dxa"/>
            <w:gridSpan w:val="2"/>
            <w:tcBorders>
              <w:top w:val="nil"/>
              <w:left w:val="nil"/>
              <w:bottom w:val="single" w:sz="4" w:space="0" w:color="E7E6E6" w:themeColor="background2"/>
              <w:right w:val="nil"/>
            </w:tcBorders>
            <w:tcMar>
              <w:top w:w="0" w:type="dxa"/>
              <w:bottom w:w="0" w:type="dxa"/>
              <w:right w:w="113" w:type="dxa"/>
            </w:tcMar>
            <w:vAlign w:val="center"/>
          </w:tcPr>
          <w:p w:rsidR="007912C2" w:rsidRPr="00D862FC" w:rsidRDefault="007912C2" w:rsidP="00CF7945">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4" w:type="dxa"/>
            <w:gridSpan w:val="4"/>
            <w:tcBorders>
              <w:top w:val="nil"/>
              <w:left w:val="nil"/>
              <w:bottom w:val="single" w:sz="4" w:space="0" w:color="E7E6E6" w:themeColor="background2"/>
              <w:right w:val="nil"/>
            </w:tcBorders>
            <w:tcMar>
              <w:top w:w="0" w:type="dxa"/>
              <w:bottom w:w="0" w:type="dxa"/>
              <w:right w:w="11" w:type="dxa"/>
            </w:tcMar>
            <w:vAlign w:val="center"/>
          </w:tcPr>
          <w:p w:rsidR="007912C2" w:rsidRPr="00D862FC" w:rsidRDefault="007912C2" w:rsidP="00CF7945">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D862FC">
              <w:rPr>
                <w:rFonts w:ascii="Calibri" w:hAnsi="Calibri" w:cs="Calibri"/>
                <w:color w:val="000000" w:themeColor="text1"/>
                <w:szCs w:val="18"/>
              </w:rPr>
              <w:t>#</w:t>
            </w:r>
          </w:p>
        </w:tc>
        <w:tc>
          <w:tcPr>
            <w:tcW w:w="504" w:type="dxa"/>
            <w:tcBorders>
              <w:top w:val="nil"/>
              <w:left w:val="nil"/>
              <w:bottom w:val="single" w:sz="4" w:space="0" w:color="E7E6E6" w:themeColor="background2"/>
              <w:right w:val="nil"/>
            </w:tcBorders>
            <w:vAlign w:val="center"/>
          </w:tcPr>
          <w:p w:rsidR="007912C2" w:rsidRPr="00D862FC" w:rsidRDefault="007912C2" w:rsidP="00CF7945">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05" w:type="dxa"/>
            <w:gridSpan w:val="5"/>
            <w:tcBorders>
              <w:top w:val="nil"/>
              <w:left w:val="nil"/>
              <w:bottom w:val="single" w:sz="4" w:space="0" w:color="E7E6E6" w:themeColor="background2"/>
              <w:right w:val="nil"/>
            </w:tcBorders>
            <w:tcMar>
              <w:right w:w="0" w:type="dxa"/>
            </w:tcMar>
            <w:vAlign w:val="center"/>
          </w:tcPr>
          <w:p w:rsidR="007912C2" w:rsidRPr="00D862FC" w:rsidRDefault="007912C2" w:rsidP="00CF7945">
            <w:pPr>
              <w:keepNext/>
              <w:keepLines/>
              <w:jc w:val="right"/>
              <w:rPr>
                <w:rFonts w:ascii="Calibri" w:hAnsi="Calibri" w:cs="Calibri"/>
                <w:color w:val="000000" w:themeColor="text1"/>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D862FC">
              <w:rPr>
                <w:rFonts w:ascii="Calibri" w:hAnsi="Calibri" w:cs="Calibri"/>
                <w:color w:val="000000" w:themeColor="text1"/>
                <w:szCs w:val="18"/>
              </w:rPr>
              <w:t>#</w:t>
            </w:r>
          </w:p>
        </w:tc>
        <w:tc>
          <w:tcPr>
            <w:tcW w:w="910" w:type="dxa"/>
            <w:gridSpan w:val="4"/>
            <w:tcBorders>
              <w:top w:val="nil"/>
              <w:left w:val="nil"/>
              <w:bottom w:val="single" w:sz="4" w:space="0" w:color="E7E6E6" w:themeColor="background2"/>
              <w:right w:val="nil"/>
            </w:tcBorders>
            <w:vAlign w:val="center"/>
          </w:tcPr>
          <w:p w:rsidR="007912C2" w:rsidRPr="00D862FC" w:rsidRDefault="007912C2" w:rsidP="00CF7945">
            <w:pPr>
              <w:keepNext/>
              <w:keepLines/>
              <w:rPr>
                <w:rFonts w:ascii="Calibri" w:hAnsi="Calibri" w:cs="Calibri"/>
                <w:color w:val="000000" w:themeColor="text1"/>
                <w:szCs w:val="18"/>
              </w:rPr>
            </w:pPr>
            <w:r>
              <w:rPr>
                <w:rFonts w:ascii="Calibri" w:hAnsi="Calibri" w:cs="Calibri"/>
                <w:color w:val="000000" w:themeColor="text1"/>
                <w:szCs w:val="18"/>
              </w:rPr>
              <w:t>0</w:t>
            </w:r>
          </w:p>
        </w:tc>
        <w:tc>
          <w:tcPr>
            <w:tcW w:w="3144" w:type="dxa"/>
            <w:gridSpan w:val="8"/>
            <w:tcBorders>
              <w:top w:val="nil"/>
              <w:left w:val="nil"/>
              <w:bottom w:val="single" w:sz="4" w:space="0" w:color="E7E6E6" w:themeColor="background2"/>
              <w:right w:val="nil"/>
            </w:tcBorders>
            <w:tcMar>
              <w:top w:w="0" w:type="dxa"/>
              <w:bottom w:w="0" w:type="dxa"/>
              <w:right w:w="11" w:type="dxa"/>
            </w:tcMar>
            <w:vAlign w:val="center"/>
          </w:tcPr>
          <w:p w:rsidR="007912C2" w:rsidRPr="00D862FC" w:rsidRDefault="007912C2" w:rsidP="00CF7945">
            <w:pPr>
              <w:keepNext/>
              <w:keepLines/>
              <w:rPr>
                <w:rFonts w:ascii="Calibri" w:hAnsi="Calibri" w:cs="Calibri"/>
                <w:color w:val="000000" w:themeColor="text1"/>
                <w:szCs w:val="18"/>
              </w:rPr>
            </w:pPr>
          </w:p>
        </w:tc>
        <w:tc>
          <w:tcPr>
            <w:tcW w:w="70" w:type="dxa"/>
            <w:tcBorders>
              <w:top w:val="nil"/>
              <w:left w:val="nil"/>
              <w:bottom w:val="nil"/>
              <w:right w:val="single" w:sz="4" w:space="0" w:color="auto"/>
            </w:tcBorders>
            <w:tcMar>
              <w:top w:w="28" w:type="dxa"/>
              <w:left w:w="0" w:type="dxa"/>
              <w:bottom w:w="28" w:type="dxa"/>
              <w:right w:w="0" w:type="dxa"/>
            </w:tcMar>
            <w:vAlign w:val="center"/>
          </w:tcPr>
          <w:p w:rsidR="007912C2" w:rsidRPr="00D862FC" w:rsidRDefault="007912C2" w:rsidP="00CF7945">
            <w:pPr>
              <w:keepNext/>
              <w:keepLines/>
              <w:rPr>
                <w:rFonts w:ascii="Calibri" w:hAnsi="Calibri" w:cs="Calibri"/>
              </w:rPr>
            </w:pPr>
          </w:p>
        </w:tc>
      </w:tr>
      <w:tr w:rsidR="007912C2" w:rsidRPr="005C18B6" w:rsidTr="0098446A">
        <w:tblPrEx>
          <w:tblCellMar>
            <w:right w:w="0" w:type="dxa"/>
          </w:tblCellMar>
        </w:tblPrEx>
        <w:trPr>
          <w:trHeight w:val="170"/>
          <w:jc w:val="center"/>
        </w:trPr>
        <w:tc>
          <w:tcPr>
            <w:tcW w:w="70" w:type="dxa"/>
            <w:tcBorders>
              <w:top w:val="nil"/>
              <w:bottom w:val="single" w:sz="4" w:space="0" w:color="auto"/>
              <w:right w:val="nil"/>
            </w:tcBorders>
            <w:tcMar>
              <w:left w:w="0" w:type="dxa"/>
              <w:bottom w:w="57" w:type="dxa"/>
              <w:right w:w="0" w:type="dxa"/>
            </w:tcMar>
          </w:tcPr>
          <w:p w:rsidR="007912C2" w:rsidRPr="005C18B6" w:rsidRDefault="007912C2" w:rsidP="00CF7945">
            <w:pPr>
              <w:keepNext/>
              <w:keepLines/>
              <w:rPr>
                <w:rFonts w:ascii="Calibri" w:hAnsi="Calibri" w:cs="Calibri"/>
              </w:rPr>
            </w:pPr>
          </w:p>
        </w:tc>
        <w:tc>
          <w:tcPr>
            <w:tcW w:w="670" w:type="dxa"/>
            <w:gridSpan w:val="2"/>
            <w:tcBorders>
              <w:top w:val="single" w:sz="4" w:space="0" w:color="E7E6E6" w:themeColor="background2"/>
              <w:left w:val="nil"/>
              <w:bottom w:val="single" w:sz="4" w:space="0" w:color="auto"/>
              <w:right w:val="nil"/>
            </w:tcBorders>
            <w:noWrap/>
            <w:tcMar>
              <w:top w:w="28" w:type="dxa"/>
              <w:left w:w="0" w:type="dxa"/>
              <w:bottom w:w="85" w:type="dxa"/>
              <w:right w:w="11" w:type="dxa"/>
            </w:tcMar>
            <w:vAlign w:val="center"/>
          </w:tcPr>
          <w:p w:rsidR="007912C2" w:rsidRPr="005C18B6" w:rsidRDefault="007912C2" w:rsidP="00CF7945">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tcBorders>
              <w:top w:val="single" w:sz="4" w:space="0" w:color="E7E6E6" w:themeColor="background2"/>
              <w:left w:val="nil"/>
              <w:bottom w:val="single" w:sz="4" w:space="0" w:color="auto"/>
              <w:right w:val="nil"/>
            </w:tcBorders>
            <w:vAlign w:val="center"/>
          </w:tcPr>
          <w:p w:rsidR="007912C2" w:rsidRPr="005C18B6" w:rsidRDefault="007912C2" w:rsidP="00CF7945">
            <w:pPr>
              <w:keepNext/>
              <w:keepLines/>
              <w:tabs>
                <w:tab w:val="left" w:pos="4536"/>
              </w:tabs>
              <w:rPr>
                <w:rFonts w:ascii="Calibri" w:hAnsi="Calibri" w:cs="Calibri"/>
              </w:rPr>
            </w:pPr>
            <w:r>
              <w:rPr>
                <w:rFonts w:ascii="Calibri" w:hAnsi="Calibri" w:cs="Calibri"/>
              </w:rPr>
              <w:t>11</w:t>
            </w:r>
          </w:p>
        </w:tc>
        <w:tc>
          <w:tcPr>
            <w:tcW w:w="9656" w:type="dxa"/>
            <w:gridSpan w:val="28"/>
            <w:tcBorders>
              <w:top w:val="single" w:sz="4" w:space="0" w:color="E7E6E6" w:themeColor="background2"/>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7945">
            <w:pPr>
              <w:keepNext/>
              <w:keepLines/>
              <w:tabs>
                <w:tab w:val="left" w:pos="4536"/>
              </w:tabs>
              <w:rPr>
                <w:rFonts w:ascii="Calibri" w:hAnsi="Calibri" w:cs="Calibri"/>
              </w:rPr>
            </w:pPr>
            <w:hyperlink w:anchor="w2t43503" w:history="1">
              <w:r w:rsidRPr="007912C2">
                <w:rPr>
                  <w:rStyle w:val="Collegamentoipertestuale"/>
                  <w:rFonts w:ascii="Calibri" w:hAnsi="Calibri" w:cs="Calibri"/>
                </w:rPr>
                <w:t>43503</w:t>
              </w:r>
            </w:hyperlink>
            <w:r>
              <w:rPr>
                <w:rFonts w:ascii="Calibri" w:hAnsi="Calibri" w:cs="Calibri"/>
              </w:rPr>
              <w:t xml:space="preserve">; </w:t>
            </w:r>
            <w:hyperlink w:anchor="w2t43504" w:history="1">
              <w:r w:rsidRPr="007912C2">
                <w:rPr>
                  <w:rStyle w:val="Collegamentoipertestuale"/>
                  <w:rFonts w:ascii="Calibri" w:hAnsi="Calibri" w:cs="Calibri"/>
                </w:rPr>
                <w:t>43504</w:t>
              </w:r>
            </w:hyperlink>
            <w:r>
              <w:rPr>
                <w:rFonts w:ascii="Calibri" w:hAnsi="Calibri" w:cs="Calibri"/>
              </w:rPr>
              <w:t xml:space="preserve">; </w:t>
            </w:r>
            <w:hyperlink w:anchor="w2t43507" w:history="1">
              <w:r w:rsidRPr="007912C2">
                <w:rPr>
                  <w:rStyle w:val="Collegamentoipertestuale"/>
                  <w:rFonts w:ascii="Calibri" w:hAnsi="Calibri" w:cs="Calibri"/>
                </w:rPr>
                <w:t>43507</w:t>
              </w:r>
            </w:hyperlink>
            <w:r>
              <w:rPr>
                <w:rFonts w:ascii="Calibri" w:hAnsi="Calibri" w:cs="Calibri"/>
              </w:rPr>
              <w:t xml:space="preserve">; </w:t>
            </w:r>
            <w:hyperlink w:anchor="w2t43509" w:history="1">
              <w:r w:rsidRPr="007912C2">
                <w:rPr>
                  <w:rStyle w:val="Collegamentoipertestuale"/>
                  <w:rFonts w:ascii="Calibri" w:hAnsi="Calibri" w:cs="Calibri"/>
                </w:rPr>
                <w:t>43509</w:t>
              </w:r>
            </w:hyperlink>
            <w:r>
              <w:rPr>
                <w:rFonts w:ascii="Calibri" w:hAnsi="Calibri" w:cs="Calibri"/>
              </w:rPr>
              <w:t xml:space="preserve">; </w:t>
            </w:r>
            <w:hyperlink w:anchor="w2t43510" w:history="1">
              <w:r w:rsidRPr="007912C2">
                <w:rPr>
                  <w:rStyle w:val="Collegamentoipertestuale"/>
                  <w:rFonts w:ascii="Calibri" w:hAnsi="Calibri" w:cs="Calibri"/>
                </w:rPr>
                <w:t>43510</w:t>
              </w:r>
            </w:hyperlink>
            <w:r>
              <w:rPr>
                <w:rFonts w:ascii="Calibri" w:hAnsi="Calibri" w:cs="Calibri"/>
              </w:rPr>
              <w:t xml:space="preserve">; </w:t>
            </w:r>
            <w:hyperlink w:anchor="w2t43511" w:history="1">
              <w:r w:rsidRPr="007912C2">
                <w:rPr>
                  <w:rStyle w:val="Collegamentoipertestuale"/>
                  <w:rFonts w:ascii="Calibri" w:hAnsi="Calibri" w:cs="Calibri"/>
                </w:rPr>
                <w:t>43511</w:t>
              </w:r>
            </w:hyperlink>
            <w:r>
              <w:rPr>
                <w:rFonts w:ascii="Calibri" w:hAnsi="Calibri" w:cs="Calibri"/>
              </w:rPr>
              <w:t xml:space="preserve">; </w:t>
            </w:r>
            <w:hyperlink w:anchor="w2t43512" w:history="1">
              <w:r w:rsidRPr="007912C2">
                <w:rPr>
                  <w:rStyle w:val="Collegamentoipertestuale"/>
                  <w:rFonts w:ascii="Calibri" w:hAnsi="Calibri" w:cs="Calibri"/>
                </w:rPr>
                <w:t>43512</w:t>
              </w:r>
            </w:hyperlink>
            <w:r>
              <w:rPr>
                <w:rFonts w:ascii="Calibri" w:hAnsi="Calibri" w:cs="Calibri"/>
              </w:rPr>
              <w:t xml:space="preserve">; </w:t>
            </w:r>
            <w:hyperlink w:anchor="w2t43513" w:history="1">
              <w:r w:rsidRPr="007912C2">
                <w:rPr>
                  <w:rStyle w:val="Collegamentoipertestuale"/>
                  <w:rFonts w:ascii="Calibri" w:hAnsi="Calibri" w:cs="Calibri"/>
                </w:rPr>
                <w:t>43513</w:t>
              </w:r>
            </w:hyperlink>
            <w:r>
              <w:rPr>
                <w:rFonts w:ascii="Calibri" w:hAnsi="Calibri" w:cs="Calibri"/>
              </w:rPr>
              <w:t xml:space="preserve">; </w:t>
            </w:r>
            <w:hyperlink w:anchor="w2t43515" w:history="1">
              <w:r w:rsidRPr="007912C2">
                <w:rPr>
                  <w:rStyle w:val="Collegamentoipertestuale"/>
                  <w:rFonts w:ascii="Calibri" w:hAnsi="Calibri" w:cs="Calibri"/>
                </w:rPr>
                <w:t>43515</w:t>
              </w:r>
            </w:hyperlink>
            <w:r>
              <w:rPr>
                <w:rFonts w:ascii="Calibri" w:hAnsi="Calibri" w:cs="Calibri"/>
              </w:rPr>
              <w:t xml:space="preserve">; </w:t>
            </w:r>
            <w:hyperlink w:anchor="w2t43516" w:history="1">
              <w:r w:rsidRPr="007912C2">
                <w:rPr>
                  <w:rStyle w:val="Collegamentoipertestuale"/>
                  <w:rFonts w:ascii="Calibri" w:hAnsi="Calibri" w:cs="Calibri"/>
                </w:rPr>
                <w:t>43516</w:t>
              </w:r>
            </w:hyperlink>
            <w:r>
              <w:rPr>
                <w:rFonts w:ascii="Calibri" w:hAnsi="Calibri" w:cs="Calibri"/>
              </w:rPr>
              <w:t xml:space="preserve">; </w:t>
            </w:r>
            <w:hyperlink w:anchor="w2t43565" w:history="1">
              <w:r w:rsidRPr="007912C2">
                <w:rPr>
                  <w:rStyle w:val="Collegamentoipertestuale"/>
                  <w:rFonts w:ascii="Calibri" w:hAnsi="Calibri" w:cs="Calibri"/>
                </w:rPr>
                <w:t>43565</w:t>
              </w:r>
            </w:hyperlink>
          </w:p>
        </w:tc>
        <w:tc>
          <w:tcPr>
            <w:tcW w:w="70" w:type="dxa"/>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7945">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D862FC" w:rsidRDefault="007912C2" w:rsidP="007065F3">
      <w:pPr>
        <w:rPr>
          <w:rFonts w:ascii="Calibri" w:hAnsi="Calibri" w:cs="Calibri"/>
        </w:rPr>
      </w:pPr>
    </w:p>
    <w:p w:rsidR="007912C2" w:rsidRPr="00D862FC" w:rsidRDefault="007912C2" w:rsidP="007065F3">
      <w:pPr>
        <w:rPr>
          <w:rFonts w:ascii="Calibri" w:hAnsi="Calibri" w:cs="Calibri"/>
        </w:rPr>
      </w:pPr>
      <w:permStart w:id="1752505534" w:edGrp="everyone"/>
      <w:permEnd w:id="1752505534"/>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4" w:name="w2t4350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361903394" w:edGrp="everyone"/>
            <w:r>
              <w:rPr>
                <w:rFonts w:ascii="Calibri" w:hAnsi="Calibri" w:cs="Calibri"/>
                <w:szCs w:val="26"/>
              </w:rPr>
              <w:t>_</w:t>
            </w:r>
            <w:permEnd w:id="36190339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8" w:history="1">
              <w:r w:rsidRPr="007912C2">
                <w:rPr>
                  <w:rStyle w:val="Collegamentoipertestuale"/>
                  <w:rFonts w:ascii="Calibri" w:hAnsi="Calibri" w:cs="Calibri"/>
                  <w:szCs w:val="20"/>
                </w:rPr>
                <w:t>43503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9" w:history="1">
              <w:r w:rsidRPr="007912C2">
                <w:rPr>
                  <w:rStyle w:val="Collegamentoipertestuale"/>
                  <w:rFonts w:ascii="Calibri" w:hAnsi="Calibri" w:cs="Calibri"/>
                  <w:szCs w:val="20"/>
                </w:rPr>
                <w:t>38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4"/>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43503 - Determinazione delle indennità d'impiego operativo spettanti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11:02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26051455" w:edGrp="everyone" w:displacedByCustomXml="next"/>
        <w:sdt>
          <w:sdtPr>
            <w:rPr>
              <w:rFonts w:ascii="Calibri" w:hAnsi="Calibri" w:cs="Calibri"/>
              <w:color w:val="000000" w:themeColor="text1"/>
              <w:szCs w:val="20"/>
            </w:rPr>
            <w:id w:val="1507781014"/>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92605145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091072649" w:edGrp="everyone"/>
            <w:r>
              <w:rPr>
                <w:rFonts w:ascii="Calibri" w:hAnsi="Calibri" w:cs="Calibri"/>
                <w:b/>
                <w:sz w:val="26"/>
                <w:szCs w:val="26"/>
              </w:rPr>
              <w:t>Determinazione delle indennità d'impiego operativo spettanti</w:t>
            </w:r>
            <w:permEnd w:id="1091072649"/>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line="276" w:lineRule="auto"/>
              <w:jc w:val="both"/>
            </w:pPr>
            <w:permStart w:id="1079779564" w:edGrp="everyone"/>
            <w:r>
              <w:t xml:space="preserve">Il sistema deve essere in grado di calcolare e aggiornare dinamicamente (qualora varino i presupposti per la determinazione) l’insieme </w:t>
            </w:r>
            <w:r>
              <w:rPr>
                <w:b/>
                <w:bCs/>
              </w:rPr>
              <w:t>delle indennità d’impiego operativo spettanti</w:t>
            </w:r>
            <w:r>
              <w:t xml:space="preserve"> per ogni amministrato, tenendo in considerazione tutte le informazioni presenti a sistema.</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In particolare, il sistema deve essere in grado di operare le seguenti attività, necessarie per la corretta definizione dell’insieme di indennità operative di impiego spettanti.</w:t>
            </w:r>
          </w:p>
          <w:p w:rsidR="007912C2" w:rsidRDefault="007912C2" w:rsidP="007912C2">
            <w:pPr>
              <w:numPr>
                <w:ilvl w:val="0"/>
                <w:numId w:val="10"/>
              </w:numPr>
              <w:spacing w:before="100" w:beforeAutospacing="1" w:line="276" w:lineRule="auto"/>
              <w:jc w:val="both"/>
            </w:pPr>
            <w:r>
              <w:lastRenderedPageBreak/>
              <w:t xml:space="preserve">Il sistema deve inizialmente provvedere al calcolo </w:t>
            </w:r>
            <w:r>
              <w:rPr>
                <w:b/>
                <w:bCs/>
              </w:rPr>
              <w:t>dell’anzianità di servizio</w:t>
            </w:r>
            <w:r>
              <w:t>, in tutte le sue declinazioni (comunque prestato, da ufficiale e/o aspirante)</w:t>
            </w:r>
          </w:p>
          <w:p w:rsidR="007912C2" w:rsidRDefault="007912C2" w:rsidP="007912C2">
            <w:pPr>
              <w:numPr>
                <w:ilvl w:val="0"/>
                <w:numId w:val="10"/>
              </w:numPr>
              <w:spacing w:before="100" w:beforeAutospacing="1" w:line="276" w:lineRule="auto"/>
              <w:jc w:val="both"/>
            </w:pPr>
            <w:r>
              <w:t xml:space="preserve">il sistema deve </w:t>
            </w:r>
            <w:r>
              <w:rPr>
                <w:b/>
                <w:bCs/>
              </w:rPr>
              <w:t>individuare</w:t>
            </w:r>
            <w:r>
              <w:t xml:space="preserve"> l’indennità operativa di base spettante, in base alle configurazioni di sistema;</w:t>
            </w:r>
          </w:p>
          <w:p w:rsidR="007912C2" w:rsidRDefault="007912C2" w:rsidP="007912C2">
            <w:pPr>
              <w:numPr>
                <w:ilvl w:val="0"/>
                <w:numId w:val="10"/>
              </w:numPr>
              <w:spacing w:before="100" w:beforeAutospacing="1" w:line="276" w:lineRule="auto"/>
              <w:jc w:val="both"/>
            </w:pPr>
            <w:r>
              <w:t>il sistema deve poi</w:t>
            </w:r>
            <w:r>
              <w:rPr>
                <w:b/>
                <w:bCs/>
              </w:rPr>
              <w:t xml:space="preserve"> derivare </w:t>
            </w:r>
            <w:r>
              <w:t>il valore economico da attribuire alle singole</w:t>
            </w:r>
            <w:r>
              <w:rPr>
                <w:b/>
                <w:bCs/>
              </w:rPr>
              <w:t xml:space="preserve"> indennità d’impiego operativo siano esse fondamentali o supplementari</w:t>
            </w:r>
            <w:r>
              <w:t xml:space="preserve">, partendo dall’indennità operativa di base e in base alle regole configurate a sistema sulla derivazione delle altre indennità spettanti ( cosiddetti presupposti giuridici, quali ad esempio le caratteristiche anagrafico/giuridiche dell’amministrato); trovato il diritto, il valore economico deve essere calcolato in base al reale periodo di percezione dell’indennità (es. calcolo nei casi di attribuzione nel mese non da 30 giorni o di singoli giorni di indennità); </w:t>
            </w:r>
          </w:p>
          <w:p w:rsidR="007912C2" w:rsidRDefault="007912C2" w:rsidP="007912C2">
            <w:pPr>
              <w:numPr>
                <w:ilvl w:val="0"/>
                <w:numId w:val="10"/>
              </w:numPr>
              <w:spacing w:before="100" w:beforeAutospacing="1" w:line="276" w:lineRule="auto"/>
              <w:jc w:val="both"/>
            </w:pPr>
            <w:r>
              <w:t xml:space="preserve">nel caso di attribuzione di una nuova </w:t>
            </w:r>
            <w:r>
              <w:rPr>
                <w:b/>
                <w:bCs/>
              </w:rPr>
              <w:t xml:space="preserve">indennità fondamentale, </w:t>
            </w:r>
            <w:r>
              <w:t>il sistema deve operare la sostituzione automatica con l’indennità fondamentale percepita,</w:t>
            </w:r>
            <w:r>
              <w:rPr>
                <w:b/>
                <w:bCs/>
              </w:rPr>
              <w:t xml:space="preserve"> </w:t>
            </w:r>
            <w:r>
              <w:t xml:space="preserve">secondo le regole di non cumulabilità e considerando eventuali eccezioni;  se l’amministrato ha diritto al </w:t>
            </w:r>
            <w:r>
              <w:rPr>
                <w:b/>
                <w:bCs/>
              </w:rPr>
              <w:t>trascinamento</w:t>
            </w:r>
            <w:r>
              <w:t xml:space="preserve"> delle indennità operative fondamentali, ad ogni attribuzione di una nuova indennità fondamentale il sistema deve operare nuovamente la scelta con il criterio economicamente più favorevole tra il valore della indennità fondamentale e il valore della indennità di base più l’eventuale trascinamento.</w:t>
            </w:r>
          </w:p>
          <w:p w:rsidR="007912C2" w:rsidRDefault="007912C2" w:rsidP="007912C2">
            <w:pPr>
              <w:numPr>
                <w:ilvl w:val="0"/>
                <w:numId w:val="10"/>
              </w:numPr>
              <w:spacing w:before="100" w:beforeAutospacing="1" w:line="276" w:lineRule="auto"/>
              <w:jc w:val="both"/>
            </w:pPr>
            <w:r>
              <w:t xml:space="preserve">nel caso di </w:t>
            </w:r>
            <w:r>
              <w:rPr>
                <w:b/>
                <w:bCs/>
              </w:rPr>
              <w:t>trasferimento</w:t>
            </w:r>
            <w:r>
              <w:t xml:space="preserve"> ad altro ente e conseguente chiusura dell’indennità fondamentale in godimento, il sistema deve rideterminare le indennità spettanti così come descritto nella sezione dedicata alla gestione del trasferimento, sino all’attribuzione delle nuove indennità spettanti da parte dell’operatore di amministrazione del nuovo ente d’impiego;</w:t>
            </w:r>
          </w:p>
          <w:p w:rsidR="007912C2" w:rsidRDefault="007912C2" w:rsidP="007912C2">
            <w:pPr>
              <w:numPr>
                <w:ilvl w:val="0"/>
                <w:numId w:val="10"/>
              </w:numPr>
              <w:spacing w:before="100" w:beforeAutospacing="1" w:line="276" w:lineRule="auto"/>
              <w:jc w:val="both"/>
            </w:pPr>
            <w:r>
              <w:t xml:space="preserve">nel caso di attribuzione di una nuova </w:t>
            </w:r>
            <w:r>
              <w:rPr>
                <w:b/>
                <w:bCs/>
              </w:rPr>
              <w:t>indennità supplementare</w:t>
            </w:r>
            <w:r>
              <w:t xml:space="preserve"> il sistema deve attribuire la nuova indennità previa verifica di eventuali regole di cumulabilità o meno con le indennità supplementari in godimento (es. non cumulabilità nei casi di remunerazione della stessa prontezza di impiego);</w:t>
            </w:r>
          </w:p>
          <w:p w:rsidR="007912C2" w:rsidRDefault="007912C2" w:rsidP="007912C2">
            <w:pPr>
              <w:numPr>
                <w:ilvl w:val="1"/>
                <w:numId w:val="10"/>
              </w:numPr>
              <w:spacing w:before="100" w:beforeAutospacing="1" w:line="276" w:lineRule="auto"/>
              <w:jc w:val="both"/>
            </w:pPr>
            <w:r>
              <w:t>in caso di cessazione del diritto all’attribuzione dell’indennità aggiuntiva per stabilimenti militari di pena, il sistema deve attribuire automaticamente il trascinamento valido se maturato;</w:t>
            </w:r>
          </w:p>
          <w:p w:rsidR="007912C2" w:rsidRDefault="007912C2" w:rsidP="007912C2">
            <w:pPr>
              <w:numPr>
                <w:ilvl w:val="1"/>
                <w:numId w:val="10"/>
              </w:numPr>
              <w:spacing w:before="100" w:beforeAutospacing="1" w:line="276" w:lineRule="auto"/>
              <w:jc w:val="both"/>
            </w:pPr>
            <w:r>
              <w:t>in caso di cessazione del diritto all’attribuzione di un’indennità supplementare connesse al volo, il sistema deve attribuire automaticamente il trascinamento (o i trascinamenti) valido maturato se presente ovvero l’eventuale nuova indennità supplementare connessa al volo qualora più favorevole</w:t>
            </w:r>
          </w:p>
          <w:p w:rsidR="007912C2" w:rsidRDefault="007912C2" w:rsidP="007912C2">
            <w:pPr>
              <w:numPr>
                <w:ilvl w:val="0"/>
                <w:numId w:val="10"/>
              </w:numPr>
              <w:spacing w:before="100" w:beforeAutospacing="1" w:line="276" w:lineRule="auto"/>
              <w:jc w:val="both"/>
            </w:pPr>
            <w:r>
              <w:t>il sistema deve verificare eventuali</w:t>
            </w:r>
            <w:r>
              <w:rPr>
                <w:b/>
                <w:bCs/>
              </w:rPr>
              <w:t xml:space="preserve"> vincoli di cumulabilità/non cumulabilità</w:t>
            </w:r>
            <w:r>
              <w:t xml:space="preserve"> dell’indennità configurati a sistema; se l’operatore di amministrazione comunica i presupposti giuridici che danno diritto all’attribuzione di più indennità operative configurate come tra loro cumulabili, il sistema deve essere in grado di attribuire tutte le indennità spettanti e se configurata la percentuale di cumulo tra le stesse il sistema deve essere in grado di gestirla; se invece vengono inseriti presupposti giuridici che danno luogo a indennità tra loro definite come non cumulabili il sistema deve, informare l’operatore dell’impossibilità di procedere; </w:t>
            </w:r>
          </w:p>
          <w:p w:rsidR="007912C2" w:rsidRDefault="007912C2" w:rsidP="007912C2">
            <w:pPr>
              <w:pStyle w:val="Paragrafoelenco"/>
              <w:spacing w:after="0" w:afterAutospacing="0" w:line="276" w:lineRule="auto"/>
              <w:ind w:hanging="360"/>
              <w:jc w:val="both"/>
            </w:pPr>
            <w:r>
              <w:rPr>
                <w:rFonts w:ascii="Symbol" w:hAnsi="Symbol"/>
              </w:rPr>
              <w:t></w:t>
            </w:r>
            <w:r>
              <w:rPr>
                <w:sz w:val="14"/>
                <w:szCs w:val="14"/>
              </w:rPr>
              <w:t xml:space="preserve">         </w:t>
            </w:r>
            <w:r>
              <w:t xml:space="preserve">è necessario prevedere la gestione del cosiddetto </w:t>
            </w:r>
            <w:r>
              <w:rPr>
                <w:b/>
                <w:bCs/>
              </w:rPr>
              <w:t>diritto di opzione</w:t>
            </w:r>
            <w:r>
              <w:t xml:space="preserve"> ad opera dell'amministrato o di chi ne fa le veci, per la selezione del criterio più favorevole;  il sistema tramite tale parametro deve  </w:t>
            </w:r>
            <w:r>
              <w:rPr>
                <w:b/>
                <w:bCs/>
              </w:rPr>
              <w:t>comparare gli importi</w:t>
            </w:r>
            <w:r>
              <w:t xml:space="preserve"> in base alla configurazione prevista per la specifica forza armata come ad esempio utilizzare il lordo delle ritenute fiscali, tenendo sempre conto del regime di tassazione fiscale differente previsto per talune indennità (es. indennità di fuori area più favorevole per tassazione fiscale al 50%);</w:t>
            </w:r>
          </w:p>
          <w:p w:rsidR="007912C2" w:rsidRDefault="007912C2" w:rsidP="007912C2">
            <w:pPr>
              <w:numPr>
                <w:ilvl w:val="0"/>
                <w:numId w:val="11"/>
              </w:numPr>
              <w:spacing w:before="100" w:beforeAutospacing="1" w:line="276" w:lineRule="auto"/>
              <w:jc w:val="both"/>
            </w:pPr>
            <w:r>
              <w:lastRenderedPageBreak/>
              <w:t xml:space="preserve">il sistema deve verificare la presenza di periodi di </w:t>
            </w:r>
            <w:r>
              <w:rPr>
                <w:b/>
                <w:bCs/>
              </w:rPr>
              <w:t>riduzioni</w:t>
            </w:r>
            <w:r>
              <w:t xml:space="preserve"> (e non) dell’indennità, in base a quanto configurato a sistema; nel caso di presenza di periodi di riduzione, qualora necessario, il sistema a seconda della tipologia di riduzione deve:</w:t>
            </w:r>
          </w:p>
          <w:p w:rsidR="007912C2" w:rsidRDefault="007912C2" w:rsidP="007912C2">
            <w:pPr>
              <w:numPr>
                <w:ilvl w:val="1"/>
                <w:numId w:val="11"/>
              </w:numPr>
              <w:spacing w:before="100" w:beforeAutospacing="1" w:line="276" w:lineRule="auto"/>
              <w:jc w:val="both"/>
            </w:pPr>
            <w:r>
              <w:t>operare la sostituzione dell’indennità fondamentale con l’indennità operativa di base più il valore del trascinamento;</w:t>
            </w:r>
          </w:p>
          <w:p w:rsidR="007912C2" w:rsidRDefault="007912C2" w:rsidP="007912C2">
            <w:pPr>
              <w:numPr>
                <w:ilvl w:val="1"/>
                <w:numId w:val="11"/>
              </w:numPr>
              <w:spacing w:before="100" w:beforeAutospacing="1" w:line="276" w:lineRule="auto"/>
              <w:jc w:val="both"/>
            </w:pPr>
            <w:r>
              <w:t>operare la sostituzione dell’indennità supplementare con il trascinamento ove previsto (circostanza prevista, come detto, esclusivamente per l’indennità supplementare connessa al volo e per l’indennità aggiuntiva per stabilimenti militari di pena);</w:t>
            </w:r>
          </w:p>
          <w:p w:rsidR="007912C2" w:rsidRDefault="007912C2" w:rsidP="007912C2">
            <w:pPr>
              <w:numPr>
                <w:ilvl w:val="1"/>
                <w:numId w:val="11"/>
              </w:numPr>
              <w:spacing w:before="100" w:beforeAutospacing="1" w:line="276" w:lineRule="auto"/>
              <w:jc w:val="both"/>
            </w:pPr>
            <w:r>
              <w:t>qualora necessario, abbattere il valore economico delle indennità percepite in base alla tipologia di riduzione ovvero attribuire l’assegno alimentare nei casi previsti.</w:t>
            </w:r>
          </w:p>
          <w:p w:rsidR="007912C2" w:rsidRDefault="007912C2" w:rsidP="007912C2">
            <w:pPr>
              <w:numPr>
                <w:ilvl w:val="0"/>
                <w:numId w:val="11"/>
              </w:numPr>
              <w:spacing w:before="100" w:beforeAutospacing="1" w:line="276" w:lineRule="auto"/>
              <w:jc w:val="both"/>
            </w:pPr>
            <w:r>
              <w:t xml:space="preserve">se le comunicazioni di ulteriori presupposti giuridici hanno come conseguenza la modifica dell’insieme delle indennità operative di impiego spettanti </w:t>
            </w:r>
            <w:r>
              <w:rPr>
                <w:b/>
                <w:bCs/>
              </w:rPr>
              <w:t>per un periodo pregresso</w:t>
            </w:r>
            <w:r>
              <w:t xml:space="preserve">, il sistema deve automaticamente calcolare eventuali </w:t>
            </w:r>
            <w:r>
              <w:rPr>
                <w:b/>
                <w:bCs/>
              </w:rPr>
              <w:t>arretrati a credito o debito</w:t>
            </w:r>
            <w:r>
              <w:t xml:space="preserve"> per l’amministrato relativi ai periodi di indennità percepiti operando nuovamente tutte le elaborazioni sin qui descritte;</w:t>
            </w:r>
          </w:p>
          <w:p w:rsidR="007912C2" w:rsidRDefault="007912C2" w:rsidP="007912C2">
            <w:pPr>
              <w:numPr>
                <w:ilvl w:val="0"/>
                <w:numId w:val="11"/>
              </w:numPr>
              <w:spacing w:before="100" w:beforeAutospacing="1" w:line="276" w:lineRule="auto"/>
              <w:jc w:val="both"/>
            </w:pPr>
            <w:r>
              <w:t xml:space="preserve">nel caso di presenza degli </w:t>
            </w:r>
            <w:r>
              <w:rPr>
                <w:b/>
                <w:bCs/>
              </w:rPr>
              <w:t>aumenti</w:t>
            </w:r>
            <w:r>
              <w:t xml:space="preserve"> (cosiddette maggiorazioni) per una o più indennità di impiego percepite (es. aumento dell’indennità d’imbarco per servizio su nave a largo del Mediterraneo), qualora sia stata configurata una stessa tipologia di aumento per altre indennità d’impiego operativo percepite (es. comando navale), quest’ultime devono essere automaticamente aumentate dal sistema nella stessa percentuale, e viceversa ridotte automaticamente nella stessa misura dell’indennità fondamentale cui sono legate; è importante mantenere separati gli importi relativi all’indennità operativa di impiego e alla sua maggiorazione  per una corretta esposizione o un eventuale ricalcolo; </w:t>
            </w:r>
          </w:p>
          <w:p w:rsidR="007912C2" w:rsidRDefault="007912C2" w:rsidP="007912C2">
            <w:pPr>
              <w:numPr>
                <w:ilvl w:val="0"/>
                <w:numId w:val="11"/>
              </w:numPr>
              <w:spacing w:before="100" w:beforeAutospacing="1" w:line="276" w:lineRule="auto"/>
              <w:jc w:val="both"/>
            </w:pPr>
            <w:r>
              <w:t xml:space="preserve">al variare dell’insieme delle indennità fondamentali\supplementari\altre spettanti, il sistema deve essere in grado di ricalcolare la </w:t>
            </w:r>
            <w:r>
              <w:rPr>
                <w:b/>
                <w:bCs/>
              </w:rPr>
              <w:t>percentuale di trascinamento di riferimento</w:t>
            </w:r>
            <w:r>
              <w:t>, da mostrare nella sezione relativa alla gestione della percentuale di trascinamento. Tale percentuale a titolo di trascinamento, solo e soltanto dopo essere stata approvata tramite apposita funzionalità dedicata, ha effetto retroattivo: è infatti necessario applicarla in sostituzione della precedente, anche per i periodi pregressi di effettiva percezione dell’indennità, nel limite dei 20 anni. In tal caso il sistema provvede a:</w:t>
            </w:r>
          </w:p>
          <w:p w:rsidR="007912C2" w:rsidRDefault="007912C2" w:rsidP="007912C2">
            <w:pPr>
              <w:spacing w:line="276" w:lineRule="auto"/>
              <w:ind w:left="1134" w:hanging="360"/>
              <w:jc w:val="both"/>
            </w:pPr>
            <w:r>
              <w:rPr>
                <w:rFonts w:ascii="Courier New" w:hAnsi="Courier New" w:cs="Courier New"/>
              </w:rPr>
              <w:t>o</w:t>
            </w:r>
            <w:r>
              <w:rPr>
                <w:sz w:val="14"/>
                <w:szCs w:val="14"/>
              </w:rPr>
              <w:t xml:space="preserve">   </w:t>
            </w:r>
            <w:r>
              <w:t>fare nuovamente tutti i controlli di convenienza tra le indennità fondamentali percepite in luogo delle indennità operative di base più il trascinamento con la percentuale aggiornata;</w:t>
            </w:r>
          </w:p>
          <w:p w:rsidR="007912C2" w:rsidRDefault="007912C2" w:rsidP="007912C2">
            <w:pPr>
              <w:spacing w:line="276" w:lineRule="auto"/>
              <w:ind w:left="1134" w:hanging="360"/>
              <w:jc w:val="both"/>
            </w:pPr>
            <w:r>
              <w:rPr>
                <w:rFonts w:ascii="Courier New" w:hAnsi="Courier New" w:cs="Courier New"/>
              </w:rPr>
              <w:t>o</w:t>
            </w:r>
            <w:r>
              <w:rPr>
                <w:sz w:val="14"/>
                <w:szCs w:val="14"/>
              </w:rPr>
              <w:t xml:space="preserve">   </w:t>
            </w:r>
            <w:r>
              <w:t>fare nuovamente tutti i controlli di convenienza tra le indennità supplementari percepite in luogo delle relative indennità di trascinamento con la percentuale aggiornata;</w:t>
            </w:r>
          </w:p>
          <w:p w:rsidR="007912C2" w:rsidRDefault="007912C2" w:rsidP="007912C2">
            <w:pPr>
              <w:spacing w:line="276" w:lineRule="auto"/>
              <w:ind w:left="1134" w:hanging="360"/>
              <w:jc w:val="both"/>
            </w:pPr>
            <w:r>
              <w:rPr>
                <w:rFonts w:ascii="Courier New" w:hAnsi="Courier New" w:cs="Courier New"/>
              </w:rPr>
              <w:t>o</w:t>
            </w:r>
            <w:r>
              <w:rPr>
                <w:sz w:val="14"/>
                <w:szCs w:val="14"/>
              </w:rPr>
              <w:t xml:space="preserve">   </w:t>
            </w:r>
            <w:r>
              <w:t>calcolare e prospettare previa validazione e secondo configurazione eventuali arretrati a credito a decorrere dalla data del provvedimento che ha variato la percentuale di derivazione dell’indennità operativa o secondo le indicazioni riportate in eventuali provvedimenti giudiziari;</w:t>
            </w:r>
          </w:p>
          <w:p w:rsidR="007912C2" w:rsidRDefault="007912C2" w:rsidP="007912C2">
            <w:pPr>
              <w:numPr>
                <w:ilvl w:val="0"/>
                <w:numId w:val="12"/>
              </w:numPr>
              <w:spacing w:before="100" w:beforeAutospacing="1" w:line="276" w:lineRule="auto"/>
              <w:jc w:val="both"/>
            </w:pPr>
            <w:r>
              <w:t xml:space="preserve">alla cessazione dal servizio il sistema deve </w:t>
            </w:r>
            <w:r>
              <w:rPr>
                <w:b/>
                <w:bCs/>
              </w:rPr>
              <w:t>calcolare il valore economico</w:t>
            </w:r>
            <w:r>
              <w:t xml:space="preserve"> dell’indennità maturata nel mese della cessazione (rapportato ai giorni di effettivo servizio) e il valore della </w:t>
            </w:r>
            <w:r>
              <w:rPr>
                <w:b/>
                <w:bCs/>
              </w:rPr>
              <w:t xml:space="preserve">tredicesima maturata </w:t>
            </w:r>
            <w:r>
              <w:t>per ogni periodo di servizio prestato, come descritto nel paragrafo “</w:t>
            </w:r>
            <w:r>
              <w:rPr>
                <w:i/>
                <w:iCs/>
              </w:rPr>
              <w:t>Gestione della tredicesima relativa alle Indennità operative</w:t>
            </w:r>
            <w:r>
              <w:t>”;</w:t>
            </w:r>
          </w:p>
          <w:p w:rsidR="007912C2" w:rsidRDefault="007912C2" w:rsidP="007912C2">
            <w:pPr>
              <w:numPr>
                <w:ilvl w:val="0"/>
                <w:numId w:val="12"/>
              </w:numPr>
              <w:spacing w:before="100" w:beforeAutospacing="1" w:line="276" w:lineRule="auto"/>
              <w:jc w:val="both"/>
            </w:pPr>
            <w:r>
              <w:lastRenderedPageBreak/>
              <w:t xml:space="preserve">alla cessazione dal servizio a causa di </w:t>
            </w:r>
            <w:r>
              <w:rPr>
                <w:b/>
                <w:bCs/>
              </w:rPr>
              <w:t>decesso</w:t>
            </w:r>
            <w:r>
              <w:t xml:space="preserve"> il sistema deve calcolare e attribuire il valore economico della indennità maturata nel mese del decesso in misura intera e il valore della tredicesima maturata per ogni periodo di servizio prestato; </w:t>
            </w:r>
          </w:p>
          <w:p w:rsidR="007912C2" w:rsidRDefault="007912C2" w:rsidP="007912C2">
            <w:pPr>
              <w:numPr>
                <w:ilvl w:val="0"/>
                <w:numId w:val="12"/>
              </w:numPr>
              <w:spacing w:before="100" w:beforeAutospacing="1" w:line="276" w:lineRule="auto"/>
              <w:jc w:val="both"/>
            </w:pPr>
            <w:r>
              <w:t xml:space="preserve">per l’applicazione sul cedolino delle competenze del mese di dicembre di ogni anno, il sistema deve </w:t>
            </w:r>
            <w:r>
              <w:rPr>
                <w:b/>
                <w:bCs/>
              </w:rPr>
              <w:t>calcolare il valore economico</w:t>
            </w:r>
            <w:r>
              <w:t xml:space="preserve"> maturato per ogni periodo di servizio relativamente alla </w:t>
            </w:r>
            <w:r>
              <w:rPr>
                <w:b/>
                <w:bCs/>
              </w:rPr>
              <w:t>tredicesima</w:t>
            </w:r>
            <w:r>
              <w:t>, come descritto nel paragrafo “</w:t>
            </w:r>
            <w:r>
              <w:rPr>
                <w:i/>
                <w:iCs/>
              </w:rPr>
              <w:t>Calcolo della tredicesima relativa alle indennità d'impiego operativo</w:t>
            </w:r>
            <w:r>
              <w:t>”;</w:t>
            </w:r>
          </w:p>
          <w:p w:rsidR="007912C2" w:rsidRDefault="007912C2" w:rsidP="007912C2">
            <w:pPr>
              <w:numPr>
                <w:ilvl w:val="0"/>
                <w:numId w:val="12"/>
              </w:numPr>
              <w:spacing w:before="100" w:beforeAutospacing="1" w:line="276" w:lineRule="auto"/>
              <w:jc w:val="both"/>
            </w:pPr>
            <w:r>
              <w:t xml:space="preserve">nel caso di variazione dell’anzianità di servizio in base al passare del tempo (es. avanzamenti automatici di carriera) o per riconoscimento (comunicazione) di periodi utili/non utili al servizio, il sistema, in base alle configurazioni di sistema, deve provvedere a </w:t>
            </w:r>
            <w:r>
              <w:rPr>
                <w:b/>
                <w:bCs/>
              </w:rPr>
              <w:t>ricalcolare e</w:t>
            </w:r>
            <w:r>
              <w:t xml:space="preserve"> </w:t>
            </w:r>
            <w:r>
              <w:rPr>
                <w:b/>
                <w:bCs/>
              </w:rPr>
              <w:t xml:space="preserve">applicare il valore aggiornato delle indennità d’impiego operativo percepite. </w:t>
            </w:r>
            <w:r>
              <w:t>In base al nuovo valore dell’anzianità di servizio il sistema deve operare nuovamente, qualora necessario, la scelta con il criterio dell’importo economicamente più favorevole; accertata la necessità di aggiornamento degli importi, il sistema deve ricalcolare alla data della variazione dell’anzianità di servizio il nuovo importo spettante a titolo di indennità operativa di base e di indennità fondamentali/supplementari/altre percepite. Qualora la data fosse retroattiva, il sistema deve provvedere al calcolo dei conguagli a credito con le medesime modalità descritte per le altre casistiche.</w:t>
            </w:r>
          </w:p>
          <w:p w:rsidR="007912C2" w:rsidRDefault="007912C2" w:rsidP="007912C2">
            <w:pPr>
              <w:numPr>
                <w:ilvl w:val="0"/>
                <w:numId w:val="12"/>
              </w:numPr>
              <w:spacing w:before="100" w:beforeAutospacing="1" w:line="276" w:lineRule="auto"/>
              <w:jc w:val="both"/>
            </w:pPr>
            <w:r>
              <w:t xml:space="preserve">nel caso di avanzamenti di carriera (variazione anzianità di servizio in base al passare del tempo), se le nuove determinazioni economiche delle indennità operative fondamentali e supplementari sono di valore inferiore rispetto al precedente trattamento il sistema deve garantire la conservazione del trattamento economico percepito attraverso </w:t>
            </w:r>
            <w:r>
              <w:rPr>
                <w:b/>
                <w:bCs/>
              </w:rPr>
              <w:t xml:space="preserve">l'attribuzione </w:t>
            </w:r>
            <w:r>
              <w:t>automatica</w:t>
            </w:r>
            <w:r>
              <w:rPr>
                <w:b/>
                <w:bCs/>
              </w:rPr>
              <w:t xml:space="preserve"> di un "</w:t>
            </w:r>
            <w:r>
              <w:rPr>
                <w:b/>
                <w:bCs/>
                <w:i/>
                <w:iCs/>
              </w:rPr>
              <w:t>assegno ad personam</w:t>
            </w:r>
            <w:r>
              <w:rPr>
                <w:b/>
                <w:bCs/>
              </w:rPr>
              <w:t>”</w:t>
            </w:r>
            <w:r>
              <w:t xml:space="preserve"> pari alla differenza tra le indennità relative al precedente grado e quelle relative al nuovo inquadramento (es. da sergente a sergente con più di 10 anni di servizio). Il sistema deve gestire il riassorbimento di tale assegno nel caso di incrementi di indennità operativa di cui l'interessato potrebbe successivamente essere destinatario. Qualora la data fosse retroattiva, il sistema deve provvedere al calcolo dei conguagli a credito con le medesime modalità descritte per le altre casistiche.</w:t>
            </w:r>
          </w:p>
          <w:p w:rsidR="007912C2" w:rsidRDefault="007912C2" w:rsidP="007912C2">
            <w:pPr>
              <w:numPr>
                <w:ilvl w:val="0"/>
                <w:numId w:val="12"/>
              </w:numPr>
              <w:spacing w:before="100" w:beforeAutospacing="1" w:line="276" w:lineRule="auto"/>
              <w:jc w:val="both"/>
            </w:pPr>
            <w:r>
              <w:t xml:space="preserve">nel caso di </w:t>
            </w:r>
            <w:r>
              <w:rPr>
                <w:b/>
                <w:bCs/>
              </w:rPr>
              <w:t>variazione della tipologia dell’ente d’impiego</w:t>
            </w:r>
            <w:r>
              <w:t xml:space="preserve"> operata a una data di riferimento, laddove per l’amministrato siano presenti delle indennità legate alla natura dell’ente d’impiego, il sistema deve ricalcolare per tutti gli amministrati che prestano servizio o che hanno prestato servizio nel medesimo ente d’impiego le nuove indennità operative di impiego spettanti ed eventuali arretrati a debito/credito così come descritto nella sezione dedicata alla gestione degli enti impiego.</w:t>
            </w:r>
          </w:p>
          <w:permEnd w:id="1079779564"/>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346772165" w:edGrp="everyone"/>
      <w:permEnd w:id="346772165"/>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5" w:name="w2t4350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017543372" w:edGrp="everyone"/>
            <w:r>
              <w:rPr>
                <w:rFonts w:ascii="Calibri" w:hAnsi="Calibri" w:cs="Calibri"/>
                <w:szCs w:val="26"/>
              </w:rPr>
              <w:t>_</w:t>
            </w:r>
            <w:permEnd w:id="101754337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0" w:history="1">
              <w:r w:rsidRPr="007912C2">
                <w:rPr>
                  <w:rStyle w:val="Collegamentoipertestuale"/>
                  <w:rFonts w:ascii="Calibri" w:hAnsi="Calibri" w:cs="Calibri"/>
                  <w:szCs w:val="20"/>
                </w:rPr>
                <w:t>43504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1" w:history="1">
              <w:r w:rsidRPr="007912C2">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5"/>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43504 - Gestione del trascinamento delle indennità d'impiego operativo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11:28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0098743" w:edGrp="everyone" w:displacedByCustomXml="next"/>
        <w:sdt>
          <w:sdtPr>
            <w:rPr>
              <w:rFonts w:ascii="Calibri" w:hAnsi="Calibri" w:cs="Calibri"/>
              <w:color w:val="000000" w:themeColor="text1"/>
              <w:szCs w:val="20"/>
            </w:rPr>
            <w:id w:val="1841030672"/>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5009874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920802049" w:edGrp="everyone"/>
            <w:r>
              <w:rPr>
                <w:rFonts w:ascii="Calibri" w:hAnsi="Calibri" w:cs="Calibri"/>
                <w:b/>
                <w:sz w:val="26"/>
                <w:szCs w:val="26"/>
              </w:rPr>
              <w:t>Gestione del trascinamento delle indennità d'impiego operativo</w:t>
            </w:r>
            <w:permEnd w:id="1920802049"/>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line="276" w:lineRule="auto"/>
              <w:jc w:val="both"/>
            </w:pPr>
            <w:permStart w:id="1297773994" w:edGrp="everyone"/>
            <w:r>
              <w:t xml:space="preserve">Nella sezione dedicata al trascinamento delle indennità di impiego operativo, il sistema deve essere in grado, in base alle informazioni possedute, di predisporre un riepilogo dei periodi di servizio dell’amministrato comprensivo di eventi utili e non utili al trascinamento, distinto per tipologia d’indennità d’impiego operativo (fondamentale/supplementare/aggiuntiva per stabilimento militare di pena), in modo tale che gli operatori possano completare e predisporre le informazioni mancanti e procedere all’aggiornamento della percentuale di trascinamento per l’amministrato. Il periodo di riferimento della percentuale di trascinamento è annuale, qualora non venga aggiornata la percentuale per più anni, il sistema deve comunque utilizzare per l’applicazione </w:t>
            </w:r>
            <w:r>
              <w:rPr>
                <w:b/>
                <w:bCs/>
              </w:rPr>
              <w:t>sempre l’ultima percentuale validata</w:t>
            </w:r>
            <w:r>
              <w:t>, ma essere in grado di calcolare tramite la funzionalità di trascinamento tutte le percentuali con riferimento agli anni.</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Gli enti d’impiego e le loro caratteristiche, visualizzati su questa funzionalità, sono regolati da speciali requisiti di riservatezza, descritti nel paragrafo dedicato “</w:t>
            </w:r>
            <w:r>
              <w:rPr>
                <w:i/>
                <w:iCs/>
              </w:rPr>
              <w:t>Sicurezza e privacy</w:t>
            </w:r>
            <w:r>
              <w:t>”.</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 xml:space="preserve">Gli operatori di amministrazione devono poter, come descritto nel paragrafo relativo alla gestione delle sedi di impiego, “popolare” i dati relativi alle tipologie delle sedi di impiego presso cui l’amministrato ha prestato servizio; tali dati sono utili per la corretta predisposizione dell’atto dispositivo di trascinamento e la conseguente attribuzione della percentuale di trascinamento. </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Attraverso la funzionalità il sistema deve mostrare:</w:t>
            </w:r>
          </w:p>
          <w:p w:rsidR="007912C2" w:rsidRDefault="007912C2" w:rsidP="007912C2">
            <w:pPr>
              <w:numPr>
                <w:ilvl w:val="0"/>
                <w:numId w:val="13"/>
              </w:numPr>
              <w:spacing w:before="100" w:beforeAutospacing="1" w:line="276" w:lineRule="auto"/>
              <w:jc w:val="both"/>
            </w:pPr>
            <w:r>
              <w:rPr>
                <w:b/>
                <w:bCs/>
              </w:rPr>
              <w:t>una sezione riepilogativa dei dati dell’amministrato</w:t>
            </w:r>
            <w:r>
              <w:t>, comprensiva di informazioni relative all’ultima percentuale di trascinamento approvata con la data di riferimento;</w:t>
            </w:r>
          </w:p>
          <w:p w:rsidR="007912C2" w:rsidRDefault="007912C2" w:rsidP="007912C2">
            <w:pPr>
              <w:numPr>
                <w:ilvl w:val="0"/>
                <w:numId w:val="13"/>
              </w:numPr>
              <w:spacing w:before="100" w:beforeAutospacing="1" w:line="276" w:lineRule="auto"/>
              <w:jc w:val="both"/>
            </w:pPr>
            <w:r>
              <w:t xml:space="preserve">una sezione di dettaglio dei periodi di servizio con relativa sottosezione dei totali, contenente l’elenco di </w:t>
            </w:r>
            <w:r>
              <w:rPr>
                <w:b/>
                <w:bCs/>
              </w:rPr>
              <w:t>tutti i periodi di servizio comunque prestati nella propria carriera</w:t>
            </w:r>
            <w:r>
              <w:t xml:space="preserve"> (utili e non al trascinamento) con le seguenti informazioni:</w:t>
            </w:r>
          </w:p>
          <w:p w:rsidR="007912C2" w:rsidRDefault="007912C2" w:rsidP="007912C2">
            <w:pPr>
              <w:numPr>
                <w:ilvl w:val="1"/>
                <w:numId w:val="13"/>
              </w:numPr>
              <w:spacing w:before="100" w:beforeAutospacing="1" w:line="276" w:lineRule="auto"/>
              <w:jc w:val="both"/>
            </w:pPr>
            <w:r>
              <w:t>periodo dal-al;</w:t>
            </w:r>
          </w:p>
          <w:p w:rsidR="007912C2" w:rsidRDefault="007912C2" w:rsidP="007912C2">
            <w:pPr>
              <w:numPr>
                <w:ilvl w:val="1"/>
                <w:numId w:val="13"/>
              </w:numPr>
              <w:spacing w:before="100" w:beforeAutospacing="1" w:line="276" w:lineRule="auto"/>
              <w:jc w:val="both"/>
            </w:pPr>
            <w:r>
              <w:t xml:space="preserve">ente/sede di servizio presso il quale l’amministrato ha prestato servizio; qualora mancante, l’operatore di amministrazione deve poter registrare a sistema, l’ente d’impiego presso cui l’amministrato ha svolto il servizio nel periodo, selezionandolo da apposito menù di ricerca; se l’ente impiego desiderato non è presente nell’elenco di quelli a sistema, l’operatore di amministratore deve poter inviare una notifica per la sua creazione agli operatori amministratori di riferimento che, tramite </w:t>
            </w:r>
            <w:r>
              <w:lastRenderedPageBreak/>
              <w:t>l’apposita funzionalità, devono provvedere alla creazione; una volta creato, l’operatore può utilizzarlo per popolare il campo (l’informazione presente sul campo è regolata da speciali requisiti di riservatezza descritti nel paragrafo dedicato “</w:t>
            </w:r>
            <w:r>
              <w:rPr>
                <w:i/>
                <w:iCs/>
              </w:rPr>
              <w:t>Sicurezza e privacy</w:t>
            </w:r>
            <w:r>
              <w:t>”);</w:t>
            </w:r>
          </w:p>
          <w:p w:rsidR="007912C2" w:rsidRDefault="007912C2" w:rsidP="007912C2">
            <w:pPr>
              <w:numPr>
                <w:ilvl w:val="1"/>
                <w:numId w:val="13"/>
              </w:numPr>
              <w:spacing w:before="100" w:beforeAutospacing="1" w:line="276" w:lineRule="auto"/>
              <w:jc w:val="both"/>
            </w:pPr>
            <w:r>
              <w:t>tipologia di servizio/ente presso il quale l’amministrato ha prestato servizio (ad es. “</w:t>
            </w:r>
            <w:r>
              <w:rPr>
                <w:i/>
                <w:iCs/>
              </w:rPr>
              <w:t>campagna</w:t>
            </w:r>
            <w:r>
              <w:t>” nei casi di servizio presso enti di campagna);  se i dati relativi all’ente impiego per il periodo non sono stati ancora confermati oppure non esistono, l’operatore di amministrazione può inserire/variare la tipologia  tra le possibili tipologie esistenti; come descritto nella sezione relativa alla gestione degli enti di impiego, il sistema deve controllare l’omogeneità di inserimento delle tipologie di ente impiego a parità di periodo di riferimento segnalando le differenti attribuzioni all’operatore amministratore di amministrazione che potrà scegliere il valore definitivo per l’ente impiego (la tipologia definitiva per il periodo) e renderlo valido per tutti; una volta validata la tipologia per l’ente impiego e per il periodo, il valore non sarà più modificabile dall’operatore di amministrazione e il sistema deve applicarla in automatico per tutti gli amministrati che hanno prestato servizio durante il periodo nella sede.</w:t>
            </w:r>
          </w:p>
          <w:p w:rsidR="007912C2" w:rsidRDefault="007912C2" w:rsidP="007912C2">
            <w:pPr>
              <w:numPr>
                <w:ilvl w:val="1"/>
                <w:numId w:val="13"/>
              </w:numPr>
              <w:spacing w:before="100" w:beforeAutospacing="1" w:line="276" w:lineRule="auto"/>
              <w:jc w:val="both"/>
            </w:pPr>
            <w:r>
              <w:t>periodo utile, che mostra il periodo totale di percezione (anni, mesi e giorni) nel caso di periodo utile al trascinamento;</w:t>
            </w:r>
          </w:p>
          <w:p w:rsidR="007912C2" w:rsidRDefault="007912C2" w:rsidP="007912C2">
            <w:pPr>
              <w:numPr>
                <w:ilvl w:val="1"/>
                <w:numId w:val="13"/>
              </w:numPr>
              <w:spacing w:before="100" w:beforeAutospacing="1" w:line="276" w:lineRule="auto"/>
              <w:jc w:val="both"/>
            </w:pPr>
            <w:r>
              <w:t>periodo non utile, che mostra il periodo totale (anni, mesi e giorni) nel caso di periodi non utili al trascinamento;</w:t>
            </w:r>
          </w:p>
          <w:p w:rsidR="007912C2" w:rsidRDefault="007912C2" w:rsidP="007912C2">
            <w:pPr>
              <w:numPr>
                <w:ilvl w:val="0"/>
                <w:numId w:val="13"/>
              </w:numPr>
              <w:spacing w:before="100" w:beforeAutospacing="1" w:line="276" w:lineRule="auto"/>
              <w:jc w:val="both"/>
            </w:pPr>
            <w:r>
              <w:t xml:space="preserve">una sezione che riepiloga </w:t>
            </w:r>
            <w:r>
              <w:rPr>
                <w:b/>
                <w:bCs/>
              </w:rPr>
              <w:t xml:space="preserve">tutte le indennità operative </w:t>
            </w:r>
            <w:r>
              <w:rPr>
                <w:b/>
                <w:bCs/>
                <w:i/>
                <w:iCs/>
              </w:rPr>
              <w:t>teoriche</w:t>
            </w:r>
            <w:r>
              <w:rPr>
                <w:b/>
                <w:bCs/>
              </w:rPr>
              <w:t xml:space="preserve"> previste</w:t>
            </w:r>
            <w:r>
              <w:t xml:space="preserve"> alla data di visualizzazione delle informazioni relative al trascinamento in base alla tipologia di trascinamento (fondamentale/supplementare), evidenziando con il periodo di attribuzione quelle effettivamente percepite con relativa sottosezione dei totali, mostrando le seguenti informazioni:</w:t>
            </w:r>
          </w:p>
          <w:p w:rsidR="007912C2" w:rsidRDefault="007912C2" w:rsidP="007912C2">
            <w:pPr>
              <w:numPr>
                <w:ilvl w:val="1"/>
                <w:numId w:val="13"/>
              </w:numPr>
              <w:spacing w:before="100" w:beforeAutospacing="1" w:line="276" w:lineRule="auto"/>
              <w:jc w:val="both"/>
            </w:pPr>
            <w:r>
              <w:t xml:space="preserve">indennità fondamentali\supplementari\altra; </w:t>
            </w:r>
          </w:p>
          <w:p w:rsidR="007912C2" w:rsidRDefault="007912C2" w:rsidP="007912C2">
            <w:pPr>
              <w:numPr>
                <w:ilvl w:val="1"/>
                <w:numId w:val="13"/>
              </w:numPr>
              <w:spacing w:before="100" w:beforeAutospacing="1" w:line="276" w:lineRule="auto"/>
              <w:jc w:val="both"/>
            </w:pPr>
            <w:r>
              <w:t xml:space="preserve">percentuale </w:t>
            </w:r>
            <w:r>
              <w:rPr>
                <w:u w:val="single"/>
              </w:rPr>
              <w:t>prevista per legge</w:t>
            </w:r>
            <w:r>
              <w:t xml:space="preserve"> relativa all’indennità operativa (ad es. 125% per indennità di tipo campagna)</w:t>
            </w:r>
          </w:p>
          <w:p w:rsidR="007912C2" w:rsidRDefault="007912C2" w:rsidP="007912C2">
            <w:pPr>
              <w:numPr>
                <w:ilvl w:val="1"/>
                <w:numId w:val="13"/>
              </w:numPr>
              <w:spacing w:before="100" w:beforeAutospacing="1" w:line="276" w:lineRule="auto"/>
              <w:jc w:val="both"/>
            </w:pPr>
            <w:r>
              <w:t>percentuale parziale di calcolo data dal rapporto tra la maggiorazione e 20 anni (ad es. nei casi di campagna il valore è 1,25 ottenuto dividendo 25% per 20)</w:t>
            </w:r>
          </w:p>
          <w:p w:rsidR="007912C2" w:rsidRDefault="007912C2" w:rsidP="007912C2">
            <w:pPr>
              <w:numPr>
                <w:ilvl w:val="1"/>
                <w:numId w:val="13"/>
              </w:numPr>
              <w:spacing w:before="100" w:beforeAutospacing="1" w:line="276" w:lineRule="auto"/>
              <w:jc w:val="both"/>
            </w:pPr>
            <w:r>
              <w:rPr>
                <w:u w:val="single"/>
              </w:rPr>
              <w:t>se percepita l’indennità</w:t>
            </w:r>
            <w:r>
              <w:t>, periodo di percezione espresso in anni, mesi e giorni;</w:t>
            </w:r>
          </w:p>
          <w:p w:rsidR="007912C2" w:rsidRDefault="007912C2" w:rsidP="007912C2">
            <w:pPr>
              <w:numPr>
                <w:ilvl w:val="1"/>
                <w:numId w:val="13"/>
              </w:numPr>
              <w:spacing w:before="100" w:beforeAutospacing="1" w:line="276" w:lineRule="auto"/>
              <w:jc w:val="both"/>
            </w:pPr>
            <w:r>
              <w:rPr>
                <w:u w:val="single"/>
              </w:rPr>
              <w:t>percentuale totale</w:t>
            </w:r>
            <w:r>
              <w:t xml:space="preserve"> calcolata in base all’indennità e al periodo di percezione;</w:t>
            </w:r>
          </w:p>
          <w:p w:rsidR="007912C2" w:rsidRDefault="007912C2" w:rsidP="007912C2">
            <w:pPr>
              <w:numPr>
                <w:ilvl w:val="0"/>
                <w:numId w:val="13"/>
              </w:numPr>
              <w:spacing w:before="100" w:beforeAutospacing="1" w:line="276" w:lineRule="auto"/>
              <w:jc w:val="both"/>
            </w:pPr>
            <w:r>
              <w:t>una sezione conclusiva, nella quale utilizzando l’insieme delle percentuali di trascinamento delle indennità operative di impiego percepite e secondo quanto descritto nel paragrafo “</w:t>
            </w:r>
            <w:r>
              <w:rPr>
                <w:i/>
                <w:iCs/>
              </w:rPr>
              <w:t>Istituto del trascinamento delle indennità operative</w:t>
            </w:r>
            <w:r>
              <w:t xml:space="preserve">”, il sistema deve calcolare e mostrare la percentuale finale di trascinamento. Se la percentuale di trascinamento non viene aggiornata per più anni, il sistema deve predisporre un prospetto con l’elenco delle percentuali di trascinamento calcolate, una per ogni anno di riferimento. </w:t>
            </w:r>
          </w:p>
          <w:p w:rsidR="007912C2" w:rsidRDefault="007912C2" w:rsidP="007912C2">
            <w:pPr>
              <w:spacing w:line="276" w:lineRule="auto"/>
              <w:ind w:left="720"/>
              <w:jc w:val="both"/>
            </w:pPr>
            <w:r>
              <w:t> </w:t>
            </w:r>
          </w:p>
          <w:p w:rsidR="007912C2" w:rsidRDefault="007912C2" w:rsidP="007912C2">
            <w:pPr>
              <w:spacing w:before="100" w:beforeAutospacing="1" w:line="276" w:lineRule="auto"/>
              <w:jc w:val="both"/>
            </w:pPr>
            <w:r>
              <w:t xml:space="preserve">Gli operatori abilitati al ruolo di </w:t>
            </w:r>
            <w:r>
              <w:rPr>
                <w:b/>
                <w:bCs/>
              </w:rPr>
              <w:t>validazione</w:t>
            </w:r>
            <w:r>
              <w:t xml:space="preserve"> della percentuale di trascinamento devono poter visualizzare ed esportare in formato stampabile il prospetto relativo alle percentuali di trascinamento calcolate sul sistema; gli stessi operatori devono poter approvare sul sistema la percentuale di trascinamento finale inserendo gli estremi dell’atto dispositivo (data di riferimento per l’approvazione e numero); dopo essere stata validata, la percentuale di trascinamento finale diventa applicabile per l’amministrato alla data dell’ultimo atto dispositivo approvato.</w:t>
            </w:r>
          </w:p>
          <w:p w:rsidR="007912C2" w:rsidRDefault="007912C2" w:rsidP="007912C2">
            <w:pPr>
              <w:spacing w:before="100" w:beforeAutospacing="1" w:line="276" w:lineRule="auto"/>
              <w:jc w:val="both"/>
            </w:pPr>
            <w:r>
              <w:lastRenderedPageBreak/>
              <w:t>Il sistema deve predisporre le informazioni utili alla valorizzazione dell’atto dispositivo con riferimento annuale (31/12 di ogni anno) oppure alla data di cessazione dal servizio oppure alla data di trasferimento.</w:t>
            </w:r>
          </w:p>
          <w:p w:rsidR="007912C2" w:rsidRDefault="007912C2" w:rsidP="007912C2">
            <w:pPr>
              <w:spacing w:before="100" w:beforeAutospacing="1" w:line="276" w:lineRule="auto"/>
              <w:jc w:val="both"/>
            </w:pPr>
            <w:r>
              <w:t>Nel caso in cui l’atto dispositivo non venga approvato entro l’anno di riferimento, il sistema deve predisporre l’atto dispositivo per ogni anno tenendo conto di differenti percentuali, ognuna con riferimento all’anno.</w:t>
            </w:r>
          </w:p>
          <w:p w:rsidR="007912C2" w:rsidRDefault="007912C2" w:rsidP="007912C2">
            <w:pPr>
              <w:spacing w:before="100" w:beforeAutospacing="1" w:after="100" w:afterAutospacing="1"/>
            </w:pPr>
            <w:r>
              <w:rPr>
                <w:color w:val="1F497D"/>
              </w:rPr>
              <w:t> </w:t>
            </w:r>
          </w:p>
          <w:p w:rsidR="007912C2" w:rsidRDefault="007912C2" w:rsidP="007912C2">
            <w:pPr>
              <w:spacing w:before="100" w:beforeAutospacing="1" w:after="100" w:afterAutospacing="1"/>
            </w:pPr>
            <w:r>
              <w:t xml:space="preserve">Solo successivamente alla validazione dell’atto dispositivo, il sistema deve effettuare i calcoli per assegnare l’operativa più favorevole tra l’operativa in godimento (o precedentemente goduta) e quella di base più l’eventuale trascinamento; qualora si verifichi una variazione con </w:t>
            </w:r>
            <w:r>
              <w:rPr>
                <w:u w:val="single"/>
              </w:rPr>
              <w:t>effetto retroattivo</w:t>
            </w:r>
            <w:r>
              <w:t xml:space="preserve">, il sistema, dopo aver effettuato le predette operazioni, deve provvedere a calcolare eventuali conguagli a credito/debito per tutto il personale interessato dalla variazione e predisporsi, secondo la configurazione, a una eventuale validazione. </w:t>
            </w:r>
          </w:p>
          <w:permEnd w:id="1297773994"/>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379991173" w:edGrp="everyone"/>
      <w:permEnd w:id="379991173"/>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6" w:name="w2t4350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089691065" w:edGrp="everyone"/>
            <w:r>
              <w:rPr>
                <w:rFonts w:ascii="Calibri" w:hAnsi="Calibri" w:cs="Calibri"/>
                <w:szCs w:val="26"/>
              </w:rPr>
              <w:t>_</w:t>
            </w:r>
            <w:permEnd w:id="10896910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2" w:history="1">
              <w:r w:rsidRPr="007912C2">
                <w:rPr>
                  <w:rStyle w:val="Collegamentoipertestuale"/>
                  <w:rFonts w:ascii="Calibri" w:hAnsi="Calibri" w:cs="Calibri"/>
                  <w:szCs w:val="20"/>
                </w:rPr>
                <w:t>43507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3" w:history="1">
              <w:r w:rsidRPr="007912C2">
                <w:rPr>
                  <w:rStyle w:val="Collegamentoipertestuale"/>
                  <w:rFonts w:ascii="Calibri" w:hAnsi="Calibri" w:cs="Calibri"/>
                  <w:szCs w:val="20"/>
                </w:rPr>
                <w:t>27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6"/>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43507 - Calcolo della tredicesima relativa alle indennità d'impiego operativo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09/07/2019 14:40</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914257285" w:edGrp="everyone" w:displacedByCustomXml="next"/>
        <w:sdt>
          <w:sdtPr>
            <w:rPr>
              <w:rFonts w:ascii="Calibri" w:hAnsi="Calibri" w:cs="Calibri"/>
              <w:color w:val="000000" w:themeColor="text1"/>
              <w:szCs w:val="20"/>
            </w:rPr>
            <w:id w:val="222098058"/>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91425728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90008234" w:edGrp="everyone"/>
            <w:r>
              <w:rPr>
                <w:rFonts w:ascii="Calibri" w:hAnsi="Calibri" w:cs="Calibri"/>
                <w:b/>
                <w:sz w:val="26"/>
                <w:szCs w:val="26"/>
              </w:rPr>
              <w:t>Calcolo della tredicesima relativa alle indennità d'impiego operativo</w:t>
            </w:r>
            <w:permEnd w:id="190008234"/>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pStyle w:val="NormaleWeb"/>
            </w:pPr>
            <w:permStart w:id="1201221733" w:edGrp="everyone"/>
            <w:r>
              <w:t xml:space="preserve">La tredicesima mensilità è stata introdotta dall'articolo 7 del Decreto Legislativo n° 263 del 25/10/1946 ed è commisurata al trattamento economico spettante alla data del 16 dicembre di ciascun anno. Tale emolumento spetta in ragione di 1/12 per ogni mese di servizio effettivo. Nei casi in cui il servizio prestato sia inferiore all'anno o ridotto per vari motivi, la tredicesima è dovuta in funzione del servizio prestato e della riduzione corrisposta. Le indennità operative di base, fondamentali ed il connesso trascinamento concorrono al calcolo del rateo mensile di tredicesima solo se percepite per un periodo superiore a 15 giorni mensili (anche non consecutivi).  Diversamente, le indennità operative supplementari e l’eventuale trascinamento non sono computabili nel calcolo della tredicesima mensilità. L’alta variabilità degli impieghi potrebbe determinare </w:t>
            </w:r>
            <w:r>
              <w:lastRenderedPageBreak/>
              <w:t>mesi in cui nessuna indennità operativa è stata percepita per più di 15 giorni (quindi nessun rateo potrebbe essere attribuito).  </w:t>
            </w:r>
          </w:p>
          <w:p w:rsidR="007912C2" w:rsidRDefault="007912C2" w:rsidP="007912C2">
            <w:pPr>
              <w:pStyle w:val="NormaleWeb"/>
            </w:pPr>
          </w:p>
          <w:p w:rsidR="007912C2" w:rsidRDefault="007912C2" w:rsidP="007912C2">
            <w:pPr>
              <w:pStyle w:val="NormaleWeb"/>
            </w:pPr>
            <w:r>
              <w:t>Per tali motivazioni, il calcolo dei ratei è effettuato su base annua. In dettaglio, il sistema deve:</w:t>
            </w:r>
          </w:p>
          <w:p w:rsidR="007912C2" w:rsidRDefault="007912C2" w:rsidP="007912C2">
            <w:pPr>
              <w:pStyle w:val="NormaleWeb"/>
            </w:pPr>
            <w:r>
              <w:t>1) calcolare il numero totale annuo dei giorni di percezione di ciascuna indennità;</w:t>
            </w:r>
          </w:p>
          <w:p w:rsidR="007912C2" w:rsidRDefault="007912C2" w:rsidP="007912C2">
            <w:pPr>
              <w:pStyle w:val="NormaleWeb"/>
            </w:pPr>
            <w:r>
              <w:t>2) determinare i ratei di tredicesima spettanti per ogni singola indennità, nella misura di 1 rateo ogni 30 giorni di percezione (più un ulteriore rateo se i giorni residui sono pari o superiori a 15). Il valore di riferimento per il calcolo dell’importo dei ratei è quello dell’indennità operativa spettante nel mese di dicembre in relazione al grado/anzianità posseduta.</w:t>
            </w:r>
          </w:p>
          <w:p w:rsidR="007912C2" w:rsidRDefault="007912C2" w:rsidP="007912C2">
            <w:pPr>
              <w:pStyle w:val="NormaleWeb"/>
            </w:pPr>
            <w:r>
              <w:t>3) verificare se i ratei determinati sono superiori a 12, in tal caso scartare i ratei di importo minore.</w:t>
            </w:r>
          </w:p>
          <w:p w:rsidR="007912C2" w:rsidRDefault="007912C2" w:rsidP="007912C2">
            <w:pPr>
              <w:spacing w:line="256" w:lineRule="auto"/>
              <w:rPr>
                <w:rFonts w:ascii="Calibri" w:hAnsi="Calibri"/>
              </w:rPr>
            </w:pPr>
          </w:p>
          <w:p w:rsidR="007912C2" w:rsidRDefault="007912C2" w:rsidP="007912C2">
            <w:pPr>
              <w:rPr>
                <w:rFonts w:ascii="Times New Roman" w:hAnsi="Times New Roman"/>
                <w:sz w:val="24"/>
                <w:szCs w:val="24"/>
              </w:rPr>
            </w:pPr>
            <w:r>
              <w:t>Di seguito sono riportati alcuni esempi di procedimento di calcolo delle operative nella tredicesima mensilità, a fronte di varie casistiche di impiego e/o riduzioni applicate nell'anno, ivi comprese le cessazioni dal servizio.</w:t>
            </w:r>
          </w:p>
          <w:p w:rsidR="007912C2" w:rsidRDefault="007912C2" w:rsidP="007912C2">
            <w:pPr>
              <w:spacing w:before="100" w:beforeAutospacing="1" w:after="100" w:afterAutospacing="1" w:line="256" w:lineRule="auto"/>
              <w:ind w:left="284"/>
              <w:jc w:val="both"/>
            </w:pPr>
            <w:r>
              <w:rPr>
                <w:rFonts w:ascii="Arial" w:hAnsi="Arial" w:cs="Arial"/>
                <w:b/>
                <w:bCs/>
              </w:rPr>
              <w:t> </w:t>
            </w:r>
          </w:p>
          <w:p w:rsidR="007912C2" w:rsidRDefault="007912C2" w:rsidP="007912C2">
            <w:pPr>
              <w:spacing w:before="100" w:beforeAutospacing="1" w:after="100" w:afterAutospacing="1" w:line="256" w:lineRule="auto"/>
              <w:jc w:val="both"/>
            </w:pPr>
            <w:r>
              <w:rPr>
                <w:rFonts w:ascii="Arial" w:hAnsi="Arial" w:cs="Arial"/>
                <w:b/>
                <w:bCs/>
                <w:sz w:val="20"/>
                <w:szCs w:val="20"/>
                <w:u w:val="single"/>
                <w:shd w:val="clear" w:color="auto" w:fill="C0C0C0"/>
              </w:rPr>
              <w:t>CASO DI CESSAZIONE DAL SERVIZIO DAL 15 APRILE 2018</w:t>
            </w:r>
            <w:r>
              <w:rPr>
                <w:rFonts w:ascii="Arial" w:hAnsi="Arial" w:cs="Arial"/>
                <w:b/>
                <w:bCs/>
                <w:sz w:val="20"/>
                <w:szCs w:val="20"/>
              </w:rPr>
              <w:t xml:space="preserve">; </w:t>
            </w:r>
            <w:r>
              <w:rPr>
                <w:rFonts w:ascii="Arial" w:hAnsi="Arial" w:cs="Arial"/>
                <w:b/>
                <w:bCs/>
              </w:rPr>
              <w:t>il calcolo della 13^ mensilità verrà effettuato così come segue:</w:t>
            </w:r>
          </w:p>
          <w:p w:rsidR="007912C2" w:rsidRDefault="007912C2" w:rsidP="007912C2">
            <w:pPr>
              <w:spacing w:before="100" w:beforeAutospacing="1" w:after="100" w:afterAutospacing="1" w:line="256" w:lineRule="auto"/>
              <w:jc w:val="both"/>
            </w:pPr>
            <w:r>
              <w:rPr>
                <w:rFonts w:ascii="Arial" w:hAnsi="Arial" w:cs="Arial"/>
              </w:rPr>
              <w:t xml:space="preserve">Per definire i ratei 13^ mensilità si deve tenere conto delle varie indennità percepite in funzione delle tipologie d’impiego che si sono succedute nel corso dell’anno. Di seguito, si specifica nel dettaglio il procedimento di calcolo dei ratei 13^ mensilità su operative fondamentali </w:t>
            </w:r>
            <w:r>
              <w:rPr>
                <w:rFonts w:ascii="Arial" w:hAnsi="Arial" w:cs="Arial"/>
                <w:b/>
                <w:bCs/>
              </w:rPr>
              <w:t>per cessazione dal servizio dal 15 aprile 2018:</w:t>
            </w:r>
          </w:p>
          <w:p w:rsidR="007912C2" w:rsidRDefault="007912C2" w:rsidP="007912C2">
            <w:pPr>
              <w:spacing w:before="100" w:beforeAutospacing="1" w:after="100" w:afterAutospacing="1" w:line="256" w:lineRule="auto"/>
              <w:ind w:left="786"/>
              <w:jc w:val="both"/>
            </w:pPr>
            <w:r>
              <w:rPr>
                <w:rFonts w:ascii="Arial" w:hAnsi="Arial" w:cs="Arial"/>
                <w:b/>
                <w:bCs/>
              </w:rPr>
              <w:t>                                             </w:t>
            </w:r>
          </w:p>
          <w:tbl>
            <w:tblPr>
              <w:tblpPr w:leftFromText="141" w:rightFromText="141" w:vertAnchor="text"/>
              <w:tblW w:w="0" w:type="dxa"/>
              <w:tblLayout w:type="fixed"/>
              <w:tblCellMar>
                <w:left w:w="0" w:type="dxa"/>
                <w:right w:w="0" w:type="dxa"/>
              </w:tblCellMar>
              <w:tblLook w:val="04A0" w:firstRow="1" w:lastRow="0" w:firstColumn="1" w:lastColumn="0" w:noHBand="0" w:noVBand="1"/>
            </w:tblPr>
            <w:tblGrid>
              <w:gridCol w:w="3085"/>
              <w:gridCol w:w="2410"/>
              <w:gridCol w:w="992"/>
              <w:gridCol w:w="992"/>
              <w:gridCol w:w="851"/>
              <w:gridCol w:w="992"/>
            </w:tblGrid>
            <w:tr w:rsidR="007912C2" w:rsidTr="007912C2">
              <w:trPr>
                <w:trHeight w:val="75"/>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ind w:left="284"/>
                    <w:jc w:val="center"/>
                  </w:pPr>
                  <w:r>
                    <w:rPr>
                      <w:rFonts w:ascii="Arial" w:hAnsi="Arial" w:cs="Arial"/>
                      <w:b/>
                      <w:bCs/>
                    </w:rPr>
                    <w:t>periodo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xml:space="preserve">tipo impiego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(i.)</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01/01/2018 al 16/01/2018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17/01/2018 al 22/03/2018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23/03/2018 al 14/04/2018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23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39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8"/>
                      <w:szCs w:val="28"/>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after="100" w:afterAutospacing="1"/>
                    <w:jc w:val="right"/>
                  </w:pPr>
                  <w:r>
                    <w:rPr>
                      <w:b/>
                      <w:bCs/>
                    </w:rPr>
                    <w:t>Totale giorni 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8"/>
                      <w:szCs w:val="28"/>
                    </w:rPr>
                    <w:t> </w:t>
                  </w:r>
                </w:p>
              </w:tc>
            </w:tr>
          </w:tbl>
          <w:p w:rsidR="007912C2" w:rsidRDefault="007912C2" w:rsidP="007912C2">
            <w:pPr>
              <w:spacing w:before="100" w:beforeAutospacing="1" w:after="100" w:afterAutospacing="1" w:line="256" w:lineRule="auto"/>
              <w:ind w:left="426"/>
              <w:jc w:val="both"/>
              <w:rPr>
                <w:rFonts w:ascii="Times New Roman" w:hAnsi="Times New Roman"/>
                <w:sz w:val="24"/>
                <w:szCs w:val="24"/>
              </w:rPr>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lastRenderedPageBreak/>
              <w:t>Di conseguenza i ratei saranno corrisposti così come segue:</w:t>
            </w:r>
          </w:p>
          <w:p w:rsidR="007912C2" w:rsidRDefault="007912C2" w:rsidP="007912C2">
            <w:pPr>
              <w:spacing w:before="100" w:beforeAutospacing="1" w:after="100" w:afterAutospacing="1" w:line="256" w:lineRule="auto"/>
              <w:jc w:val="both"/>
            </w:pPr>
            <w:r>
              <w:rPr>
                <w:rFonts w:ascii="Arial" w:hAnsi="Arial" w:cs="Arial"/>
                <w:b/>
                <w:bCs/>
                <w:u w:val="single"/>
              </w:rPr>
              <w:t>totale giorni di imbarco anno 2018 = 65 giorni</w:t>
            </w:r>
            <w:r>
              <w:rPr>
                <w:rFonts w:ascii="Arial" w:hAnsi="Arial" w:cs="Arial"/>
              </w:rPr>
              <w:t xml:space="preserve"> ; 65/30 = </w:t>
            </w:r>
            <w:r>
              <w:rPr>
                <w:rFonts w:ascii="Arial" w:hAnsi="Arial" w:cs="Arial"/>
                <w:b/>
                <w:bCs/>
                <w:u w:val="single"/>
              </w:rPr>
              <w:t>2 ratei interi</w:t>
            </w:r>
            <w:r>
              <w:rPr>
                <w:rFonts w:ascii="Arial" w:hAnsi="Arial" w:cs="Arial"/>
              </w:rPr>
              <w:t xml:space="preserve">  con un residuo pari a giorni 5; </w:t>
            </w:r>
          </w:p>
          <w:p w:rsidR="007912C2" w:rsidRDefault="007912C2" w:rsidP="007912C2">
            <w:pPr>
              <w:spacing w:before="100" w:beforeAutospacing="1" w:after="100" w:afterAutospacing="1" w:line="256" w:lineRule="auto"/>
              <w:jc w:val="both"/>
            </w:pPr>
            <w:r>
              <w:rPr>
                <w:rFonts w:ascii="Arial" w:hAnsi="Arial" w:cs="Arial"/>
                <w:b/>
                <w:bCs/>
                <w:u w:val="single"/>
              </w:rPr>
              <w:t>totale giorni di supercampagna anno 2018 = 39 giorni</w:t>
            </w:r>
            <w:r>
              <w:rPr>
                <w:rFonts w:ascii="Arial" w:hAnsi="Arial" w:cs="Arial"/>
              </w:rPr>
              <w:t xml:space="preserve"> ; 39/30 = </w:t>
            </w:r>
            <w:r>
              <w:rPr>
                <w:rFonts w:ascii="Arial" w:hAnsi="Arial" w:cs="Arial"/>
                <w:b/>
                <w:bCs/>
                <w:u w:val="single"/>
              </w:rPr>
              <w:t>1 rateo intero</w:t>
            </w:r>
            <w:r>
              <w:rPr>
                <w:rFonts w:ascii="Arial" w:hAnsi="Arial" w:cs="Arial"/>
              </w:rPr>
              <w:t xml:space="preserve">  con un residuo pari a giorni 9; </w:t>
            </w:r>
          </w:p>
          <w:p w:rsidR="007912C2" w:rsidRDefault="007912C2" w:rsidP="007912C2">
            <w:pPr>
              <w:spacing w:before="100" w:beforeAutospacing="1" w:after="100" w:afterAutospacing="1" w:line="256" w:lineRule="auto"/>
              <w:jc w:val="both"/>
            </w:pPr>
            <w:r>
              <w:rPr>
                <w:rFonts w:ascii="Arial" w:hAnsi="Arial" w:cs="Arial"/>
              </w:rPr>
              <w:t xml:space="preserve">Totale residuo giorni 5 + 9 = 14; non avendo maturato un numero di giorni superiore a quindici non matura un ulteriore rateo.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Riepilogando:</w:t>
            </w:r>
          </w:p>
          <w:p w:rsidR="007912C2" w:rsidRDefault="007912C2" w:rsidP="007912C2">
            <w:pPr>
              <w:spacing w:before="100" w:beforeAutospacing="1" w:after="100" w:afterAutospacing="1" w:line="256" w:lineRule="auto"/>
              <w:jc w:val="both"/>
            </w:pPr>
            <w:r>
              <w:rPr>
                <w:rFonts w:ascii="Arial" w:hAnsi="Arial" w:cs="Arial"/>
                <w:b/>
                <w:bCs/>
                <w:u w:val="single"/>
              </w:rPr>
              <w:t>Totale n° 2 ratei indennità di imbarco 13^ mensilità anno 2018;</w:t>
            </w:r>
          </w:p>
          <w:p w:rsidR="007912C2" w:rsidRDefault="007912C2" w:rsidP="007912C2">
            <w:pPr>
              <w:spacing w:before="100" w:beforeAutospacing="1" w:after="100" w:afterAutospacing="1" w:line="256" w:lineRule="auto"/>
              <w:jc w:val="both"/>
            </w:pPr>
            <w:r>
              <w:rPr>
                <w:rFonts w:ascii="Arial" w:hAnsi="Arial" w:cs="Arial"/>
                <w:b/>
                <w:bCs/>
                <w:u w:val="single"/>
              </w:rPr>
              <w:t>Totale n° 1 ratei indennità di supecampagna 13^ mensilità anno 2018;</w:t>
            </w:r>
          </w:p>
          <w:p w:rsidR="007912C2" w:rsidRDefault="007912C2" w:rsidP="007912C2">
            <w:pPr>
              <w:spacing w:before="100" w:beforeAutospacing="1" w:after="100" w:afterAutospacing="1" w:line="256" w:lineRule="auto"/>
              <w:ind w:left="567"/>
              <w:jc w:val="both"/>
            </w:pPr>
          </w:p>
          <w:p w:rsidR="007912C2" w:rsidRDefault="007912C2" w:rsidP="007912C2">
            <w:pPr>
              <w:spacing w:before="100" w:beforeAutospacing="1" w:after="100" w:afterAutospacing="1" w:line="256" w:lineRule="auto"/>
              <w:jc w:val="both"/>
            </w:pPr>
            <w:r>
              <w:rPr>
                <w:rFonts w:ascii="Arial" w:hAnsi="Arial" w:cs="Arial"/>
                <w:b/>
                <w:bCs/>
                <w:sz w:val="20"/>
                <w:szCs w:val="20"/>
                <w:u w:val="single"/>
                <w:shd w:val="clear" w:color="auto" w:fill="C0C0C0"/>
              </w:rPr>
              <w:t>CASO DI CESSAZIONE DAL SERVIZIO DAL 17 MAGGIO 2018</w:t>
            </w:r>
            <w:r>
              <w:rPr>
                <w:rFonts w:ascii="Arial" w:hAnsi="Arial" w:cs="Arial"/>
                <w:b/>
                <w:bCs/>
                <w:sz w:val="20"/>
                <w:szCs w:val="20"/>
              </w:rPr>
              <w:t xml:space="preserve">; </w:t>
            </w:r>
            <w:r>
              <w:rPr>
                <w:rFonts w:ascii="Arial" w:hAnsi="Arial" w:cs="Arial"/>
                <w:b/>
                <w:bCs/>
              </w:rPr>
              <w:t>il calcolo della 13^ mensilità verrà effettuato così come segue:</w:t>
            </w:r>
          </w:p>
          <w:p w:rsidR="007912C2" w:rsidRDefault="007912C2" w:rsidP="007912C2">
            <w:pPr>
              <w:spacing w:before="100" w:beforeAutospacing="1" w:after="100" w:afterAutospacing="1" w:line="256" w:lineRule="auto"/>
              <w:jc w:val="both"/>
            </w:pPr>
            <w:r>
              <w:rPr>
                <w:rFonts w:ascii="Arial" w:hAnsi="Arial" w:cs="Arial"/>
              </w:rPr>
              <w:t>Al fine di definire i ratei della 13^ mensilità, si dovrà tenere conto delle varie indennità percepite in funzione delle tipologie d’impiego che si sono succedute nel corso dell’anno.</w:t>
            </w:r>
          </w:p>
          <w:p w:rsidR="007912C2" w:rsidRDefault="007912C2" w:rsidP="007912C2">
            <w:pPr>
              <w:spacing w:before="100" w:beforeAutospacing="1" w:after="100" w:afterAutospacing="1" w:line="256" w:lineRule="auto"/>
              <w:jc w:val="both"/>
            </w:pPr>
            <w:r>
              <w:rPr>
                <w:rFonts w:ascii="Arial" w:hAnsi="Arial" w:cs="Arial"/>
              </w:rPr>
              <w:t xml:space="preserve">Pertanto, si specifica di seguito il procedimento di calcolo dei ratei 13^ mensilità su operative fondamentali </w:t>
            </w:r>
            <w:r>
              <w:rPr>
                <w:rFonts w:ascii="Arial" w:hAnsi="Arial" w:cs="Arial"/>
                <w:b/>
                <w:bCs/>
              </w:rPr>
              <w:t xml:space="preserve">per cessazione dal servizio dal 17 maggio 2018: </w:t>
            </w:r>
          </w:p>
          <w:p w:rsidR="007912C2" w:rsidRDefault="007912C2" w:rsidP="007912C2">
            <w:pPr>
              <w:spacing w:before="100" w:beforeAutospacing="1" w:after="100" w:afterAutospacing="1" w:line="256" w:lineRule="auto"/>
              <w:ind w:left="786"/>
              <w:jc w:val="both"/>
            </w:pPr>
            <w:r>
              <w:rPr>
                <w:rFonts w:ascii="Arial" w:hAnsi="Arial" w:cs="Arial"/>
                <w:b/>
                <w:bCs/>
              </w:rPr>
              <w:t>                                              </w:t>
            </w:r>
          </w:p>
          <w:tbl>
            <w:tblPr>
              <w:tblpPr w:leftFromText="141" w:rightFromText="141" w:vertAnchor="text"/>
              <w:tblW w:w="0" w:type="dxa"/>
              <w:tblLayout w:type="fixed"/>
              <w:tblCellMar>
                <w:left w:w="0" w:type="dxa"/>
                <w:right w:w="0" w:type="dxa"/>
              </w:tblCellMar>
              <w:tblLook w:val="04A0" w:firstRow="1" w:lastRow="0" w:firstColumn="1" w:lastColumn="0" w:noHBand="0" w:noVBand="1"/>
            </w:tblPr>
            <w:tblGrid>
              <w:gridCol w:w="3085"/>
              <w:gridCol w:w="2410"/>
              <w:gridCol w:w="992"/>
              <w:gridCol w:w="992"/>
              <w:gridCol w:w="851"/>
              <w:gridCol w:w="992"/>
            </w:tblGrid>
            <w:tr w:rsidR="007912C2" w:rsidTr="007912C2">
              <w:trPr>
                <w:trHeight w:val="75"/>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ind w:left="284"/>
                    <w:jc w:val="center"/>
                  </w:pPr>
                  <w:r>
                    <w:rPr>
                      <w:rFonts w:ascii="Arial" w:hAnsi="Arial" w:cs="Arial"/>
                      <w:b/>
                      <w:bCs/>
                    </w:rPr>
                    <w:t>periodo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tipo impiego</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(i.)</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r>
            <w:tr w:rsidR="007912C2" w:rsidTr="007912C2">
              <w:trPr>
                <w:trHeight w:val="283"/>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01/01/2018 al 16/01/2018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 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283"/>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17/01/2018 al 22/03/2018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283"/>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23/03/2018 al 16/05/2018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55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super 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71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after="100" w:afterAutospacing="1"/>
                    <w:jc w:val="right"/>
                  </w:pPr>
                  <w:r>
                    <w:rPr>
                      <w:b/>
                      <w:bCs/>
                    </w:rPr>
                    <w:t>Totale giorni 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bl>
          <w:p w:rsidR="007912C2" w:rsidRDefault="007912C2" w:rsidP="007912C2">
            <w:pPr>
              <w:spacing w:before="100" w:beforeAutospacing="1" w:after="100" w:afterAutospacing="1" w:line="256" w:lineRule="auto"/>
              <w:ind w:left="426"/>
              <w:jc w:val="both"/>
              <w:rPr>
                <w:rFonts w:ascii="Times New Roman" w:hAnsi="Times New Roman"/>
                <w:sz w:val="24"/>
                <w:szCs w:val="24"/>
              </w:rPr>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Di conseguenza. La situazione relativa ai ratei corrisposti sarà la seguente:</w:t>
            </w:r>
          </w:p>
          <w:p w:rsidR="007912C2" w:rsidRDefault="007912C2" w:rsidP="007912C2">
            <w:pPr>
              <w:spacing w:before="100" w:beforeAutospacing="1" w:after="100" w:afterAutospacing="1" w:line="256" w:lineRule="auto"/>
              <w:ind w:left="284"/>
              <w:jc w:val="both"/>
            </w:pPr>
            <w:r>
              <w:rPr>
                <w:rFonts w:ascii="Arial" w:hAnsi="Arial" w:cs="Arial"/>
                <w:b/>
                <w:bCs/>
                <w:u w:val="single"/>
              </w:rPr>
              <w:lastRenderedPageBreak/>
              <w:t>totale giorni di imbarco anno 2018 = 65 giorni</w:t>
            </w:r>
            <w:r>
              <w:rPr>
                <w:rFonts w:ascii="Arial" w:hAnsi="Arial" w:cs="Arial"/>
              </w:rPr>
              <w:t xml:space="preserve"> ; 65/30 = </w:t>
            </w:r>
            <w:r>
              <w:rPr>
                <w:rFonts w:ascii="Arial" w:hAnsi="Arial" w:cs="Arial"/>
                <w:b/>
                <w:bCs/>
                <w:u w:val="single"/>
              </w:rPr>
              <w:t>2 ratei interi</w:t>
            </w:r>
            <w:r>
              <w:rPr>
                <w:rFonts w:ascii="Arial" w:hAnsi="Arial" w:cs="Arial"/>
              </w:rPr>
              <w:t xml:space="preserve">  con un residuo pari a giorni 5;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b/>
                <w:bCs/>
                <w:u w:val="single"/>
              </w:rPr>
              <w:t>totale giorni di supercampagna anno 2018 = 71 giorni</w:t>
            </w:r>
            <w:r>
              <w:rPr>
                <w:rFonts w:ascii="Arial" w:hAnsi="Arial" w:cs="Arial"/>
              </w:rPr>
              <w:t xml:space="preserve"> ; 71/30 = </w:t>
            </w:r>
            <w:r>
              <w:rPr>
                <w:rFonts w:ascii="Arial" w:hAnsi="Arial" w:cs="Arial"/>
                <w:b/>
                <w:bCs/>
                <w:u w:val="single"/>
              </w:rPr>
              <w:t>2 ratei interi</w:t>
            </w:r>
            <w:r>
              <w:rPr>
                <w:rFonts w:ascii="Arial" w:hAnsi="Arial" w:cs="Arial"/>
              </w:rPr>
              <w:t xml:space="preserve">  con una frazione pari a giorni 11; </w:t>
            </w:r>
          </w:p>
          <w:p w:rsidR="007912C2" w:rsidRDefault="007912C2" w:rsidP="007912C2">
            <w:pPr>
              <w:spacing w:before="100" w:beforeAutospacing="1" w:after="100" w:afterAutospacing="1" w:line="256" w:lineRule="auto"/>
              <w:ind w:left="567"/>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xml:space="preserve">totale residuo giorni  5 + 11 = 16; avendo maturato un numero di giorni superiore a quindici  compete un ulteriore rateo di  supercampagna (maggior numero di giorni residui di indennità supercampagna).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Riepilogando:</w:t>
            </w:r>
          </w:p>
          <w:p w:rsidR="007912C2" w:rsidRDefault="007912C2" w:rsidP="007912C2">
            <w:pPr>
              <w:spacing w:before="100" w:beforeAutospacing="1" w:after="100" w:afterAutospacing="1" w:line="256" w:lineRule="auto"/>
              <w:ind w:left="284"/>
              <w:jc w:val="both"/>
            </w:pPr>
            <w:r>
              <w:rPr>
                <w:rFonts w:ascii="Arial" w:hAnsi="Arial" w:cs="Arial"/>
                <w:b/>
                <w:bCs/>
                <w:u w:val="single"/>
              </w:rPr>
              <w:t>Totale ratei n° 2 ratei indennità di imbarco 13^ mensilità anno 2018;</w:t>
            </w:r>
          </w:p>
          <w:p w:rsidR="007912C2" w:rsidRDefault="007912C2" w:rsidP="007912C2">
            <w:pPr>
              <w:spacing w:before="100" w:beforeAutospacing="1" w:after="100" w:afterAutospacing="1" w:line="256" w:lineRule="auto"/>
              <w:ind w:left="284"/>
              <w:jc w:val="both"/>
            </w:pPr>
            <w:r>
              <w:rPr>
                <w:rFonts w:ascii="Arial" w:hAnsi="Arial" w:cs="Arial"/>
                <w:b/>
                <w:bCs/>
                <w:u w:val="single"/>
              </w:rPr>
              <w:t>Totale ratei n° 3 ratei indennità di supecampagna 13^ mensilità anno 2018;</w:t>
            </w:r>
          </w:p>
          <w:p w:rsidR="007912C2" w:rsidRDefault="007912C2" w:rsidP="007912C2">
            <w:pPr>
              <w:spacing w:before="100" w:beforeAutospacing="1" w:after="100" w:afterAutospacing="1" w:line="256" w:lineRule="auto"/>
              <w:ind w:left="567"/>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b/>
                <w:bCs/>
                <w:sz w:val="20"/>
                <w:szCs w:val="20"/>
                <w:u w:val="single"/>
                <w:shd w:val="clear" w:color="auto" w:fill="C0C0C0"/>
              </w:rPr>
              <w:t>CASO DI RIDUZIONE STIPENDIALE del 50% DAL 16 APRILE 2018</w:t>
            </w:r>
            <w:r>
              <w:rPr>
                <w:rFonts w:ascii="Arial" w:hAnsi="Arial" w:cs="Arial"/>
                <w:b/>
                <w:bCs/>
                <w:sz w:val="20"/>
                <w:szCs w:val="20"/>
              </w:rPr>
              <w:t xml:space="preserve">; </w:t>
            </w:r>
            <w:r>
              <w:rPr>
                <w:rFonts w:ascii="Arial" w:hAnsi="Arial" w:cs="Arial"/>
                <w:b/>
                <w:bCs/>
              </w:rPr>
              <w:t>il calcolo della 13^ mensilità verrà effettuato così come segue:</w:t>
            </w:r>
          </w:p>
          <w:p w:rsidR="007912C2" w:rsidRDefault="007912C2" w:rsidP="007912C2">
            <w:pPr>
              <w:spacing w:before="100" w:beforeAutospacing="1" w:after="100" w:afterAutospacing="1" w:line="256" w:lineRule="auto"/>
              <w:ind w:left="284"/>
              <w:jc w:val="both"/>
            </w:pPr>
            <w:r>
              <w:rPr>
                <w:rFonts w:ascii="Arial" w:hAnsi="Arial" w:cs="Arial"/>
              </w:rPr>
              <w:t>Al fine di definire il numero dei ratei della 13^ mensilità relativi alle indennità operative fondamentali si dovrà tenere conto sia della riduzione, che delle varie indennità percepite in funzione delle tipologie d’impiego nel corso dell’anno.</w:t>
            </w:r>
          </w:p>
          <w:p w:rsidR="007912C2" w:rsidRDefault="007912C2" w:rsidP="007912C2">
            <w:pPr>
              <w:spacing w:before="100" w:beforeAutospacing="1" w:after="100" w:afterAutospacing="1" w:line="256" w:lineRule="auto"/>
              <w:ind w:left="284"/>
              <w:jc w:val="both"/>
            </w:pPr>
            <w:r>
              <w:rPr>
                <w:rFonts w:ascii="Arial" w:hAnsi="Arial" w:cs="Arial"/>
              </w:rPr>
              <w:t xml:space="preserve">Pertanto, si specifica nel dettaglio il procedimento di calcolo dei ratei della 13^ mensilità sulle operative fondamentali </w:t>
            </w:r>
            <w:r>
              <w:rPr>
                <w:rFonts w:ascii="Arial" w:hAnsi="Arial" w:cs="Arial"/>
                <w:b/>
                <w:bCs/>
              </w:rPr>
              <w:t>per riduzione stipendiale al 50% dal 16 aprile 2018:</w:t>
            </w:r>
          </w:p>
          <w:p w:rsidR="007912C2" w:rsidRDefault="007912C2" w:rsidP="007912C2">
            <w:pPr>
              <w:spacing w:before="100" w:beforeAutospacing="1" w:after="100" w:afterAutospacing="1" w:line="256" w:lineRule="auto"/>
              <w:ind w:left="786"/>
              <w:jc w:val="both"/>
            </w:pPr>
            <w:r>
              <w:rPr>
                <w:rFonts w:ascii="Arial" w:hAnsi="Arial" w:cs="Arial"/>
                <w:b/>
                <w:bCs/>
              </w:rPr>
              <w:t>                                              </w:t>
            </w:r>
          </w:p>
          <w:tbl>
            <w:tblPr>
              <w:tblpPr w:leftFromText="141" w:rightFromText="141" w:vertAnchor="text"/>
              <w:tblW w:w="0" w:type="dxa"/>
              <w:tblLayout w:type="fixed"/>
              <w:tblCellMar>
                <w:left w:w="0" w:type="dxa"/>
                <w:right w:w="0" w:type="dxa"/>
              </w:tblCellMar>
              <w:tblLook w:val="04A0" w:firstRow="1" w:lastRow="0" w:firstColumn="1" w:lastColumn="0" w:noHBand="0" w:noVBand="1"/>
            </w:tblPr>
            <w:tblGrid>
              <w:gridCol w:w="3085"/>
              <w:gridCol w:w="2410"/>
              <w:gridCol w:w="992"/>
              <w:gridCol w:w="992"/>
              <w:gridCol w:w="1134"/>
              <w:gridCol w:w="709"/>
            </w:tblGrid>
            <w:tr w:rsidR="007912C2" w:rsidTr="007912C2">
              <w:trPr>
                <w:trHeight w:val="75"/>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ind w:left="284"/>
                    <w:jc w:val="center"/>
                  </w:pPr>
                  <w:r>
                    <w:rPr>
                      <w:rFonts w:ascii="Arial" w:hAnsi="Arial" w:cs="Arial"/>
                      <w:b/>
                      <w:bCs/>
                    </w:rPr>
                    <w:t>periodo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tipo impiego</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(i.)</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(b + 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01/01/2018 al 14/01/2018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15/01/2018 al 15/04/2018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91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20"/>
                      <w:szCs w:val="20"/>
                    </w:rPr>
                    <w:t>Dal 16/04/2018 al 31/12/2018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Indennità operativa base   +                               trascinamento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260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14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88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after="100" w:afterAutospacing="1"/>
                    <w:jc w:val="right"/>
                  </w:pPr>
                  <w:r>
                    <w:rPr>
                      <w:b/>
                      <w:bCs/>
                    </w:rPr>
                    <w:t>Totale giorni base + trascinamento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260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bl>
          <w:p w:rsidR="007912C2" w:rsidRDefault="007912C2" w:rsidP="007912C2">
            <w:pPr>
              <w:spacing w:before="100" w:beforeAutospacing="1" w:after="100" w:afterAutospacing="1" w:line="256" w:lineRule="auto"/>
              <w:ind w:left="426"/>
              <w:jc w:val="both"/>
              <w:rPr>
                <w:rFonts w:ascii="Times New Roman" w:hAnsi="Times New Roman"/>
                <w:sz w:val="24"/>
                <w:szCs w:val="24"/>
              </w:rPr>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 </w:t>
            </w:r>
          </w:p>
          <w:p w:rsidR="007912C2" w:rsidRDefault="007912C2" w:rsidP="007912C2">
            <w:pPr>
              <w:spacing w:before="100" w:beforeAutospacing="1" w:after="100" w:afterAutospacing="1" w:line="256" w:lineRule="auto"/>
              <w:ind w:left="567"/>
              <w:jc w:val="both"/>
            </w:pPr>
            <w:r>
              <w:rPr>
                <w:rFonts w:ascii="Arial" w:hAnsi="Arial" w:cs="Arial"/>
              </w:rPr>
              <w:lastRenderedPageBreak/>
              <w:t> </w:t>
            </w:r>
          </w:p>
          <w:p w:rsidR="007912C2" w:rsidRDefault="007912C2" w:rsidP="007912C2">
            <w:pPr>
              <w:spacing w:before="100" w:beforeAutospacing="1" w:after="100" w:afterAutospacing="1" w:line="256" w:lineRule="auto"/>
              <w:ind w:left="567"/>
              <w:jc w:val="both"/>
            </w:pPr>
            <w:r>
              <w:rPr>
                <w:rFonts w:ascii="Arial" w:hAnsi="Arial" w:cs="Arial"/>
              </w:rPr>
              <w:t> </w:t>
            </w:r>
          </w:p>
          <w:p w:rsidR="007912C2" w:rsidRDefault="007912C2" w:rsidP="007912C2">
            <w:pPr>
              <w:spacing w:before="100" w:beforeAutospacing="1" w:after="100" w:afterAutospacing="1" w:line="256" w:lineRule="auto"/>
              <w:ind w:left="567"/>
              <w:jc w:val="both"/>
            </w:pPr>
            <w:r>
              <w:rPr>
                <w:rFonts w:ascii="Arial" w:hAnsi="Arial" w:cs="Arial"/>
              </w:rPr>
              <w:t xml:space="preserve">          </w:t>
            </w:r>
          </w:p>
          <w:p w:rsidR="007912C2" w:rsidRDefault="007912C2" w:rsidP="007912C2">
            <w:pPr>
              <w:spacing w:before="100" w:beforeAutospacing="1" w:after="100" w:afterAutospacing="1" w:line="256" w:lineRule="auto"/>
              <w:ind w:left="284"/>
              <w:jc w:val="both"/>
            </w:pPr>
          </w:p>
          <w:p w:rsidR="007912C2" w:rsidRDefault="007912C2" w:rsidP="007912C2">
            <w:pPr>
              <w:spacing w:before="100" w:beforeAutospacing="1" w:after="100" w:afterAutospacing="1" w:line="256" w:lineRule="auto"/>
              <w:ind w:left="284"/>
              <w:jc w:val="both"/>
            </w:pPr>
            <w:r>
              <w:rPr>
                <w:rFonts w:ascii="Arial" w:hAnsi="Arial" w:cs="Arial"/>
              </w:rPr>
              <w:t>Di conseguenza i ratei saranno corrisposti così come segue:</w:t>
            </w:r>
          </w:p>
          <w:p w:rsidR="007912C2" w:rsidRDefault="007912C2" w:rsidP="007912C2">
            <w:pPr>
              <w:spacing w:before="100" w:beforeAutospacing="1" w:after="100" w:afterAutospacing="1" w:line="256" w:lineRule="auto"/>
              <w:ind w:left="284"/>
              <w:jc w:val="both"/>
            </w:pPr>
            <w:r>
              <w:rPr>
                <w:rFonts w:ascii="Arial" w:hAnsi="Arial" w:cs="Arial"/>
              </w:rPr>
              <w:t> </w:t>
            </w:r>
            <w:r>
              <w:rPr>
                <w:rFonts w:ascii="Arial" w:hAnsi="Arial" w:cs="Arial"/>
                <w:b/>
                <w:bCs/>
                <w:u w:val="single"/>
              </w:rPr>
              <w:t>totale giorni di imbarco anno 2018 = 91 giorni</w:t>
            </w:r>
            <w:r>
              <w:rPr>
                <w:rFonts w:ascii="Arial" w:hAnsi="Arial" w:cs="Arial"/>
              </w:rPr>
              <w:t xml:space="preserve"> ; 91:30 = </w:t>
            </w:r>
            <w:r>
              <w:rPr>
                <w:rFonts w:ascii="Arial" w:hAnsi="Arial" w:cs="Arial"/>
                <w:b/>
                <w:bCs/>
                <w:u w:val="single"/>
              </w:rPr>
              <w:t>3 ratei interi</w:t>
            </w:r>
            <w:r>
              <w:rPr>
                <w:rFonts w:ascii="Arial" w:hAnsi="Arial" w:cs="Arial"/>
              </w:rPr>
              <w:t>  con un residuo pari a giorni 01; </w:t>
            </w:r>
          </w:p>
          <w:p w:rsidR="007912C2" w:rsidRDefault="007912C2" w:rsidP="007912C2">
            <w:pPr>
              <w:spacing w:before="100" w:beforeAutospacing="1" w:after="100" w:afterAutospacing="1" w:line="256" w:lineRule="auto"/>
              <w:ind w:left="284"/>
              <w:jc w:val="both"/>
            </w:pPr>
            <w:r>
              <w:rPr>
                <w:rFonts w:ascii="Arial" w:hAnsi="Arial" w:cs="Arial"/>
              </w:rPr>
              <w:t> </w:t>
            </w:r>
            <w:r>
              <w:rPr>
                <w:rFonts w:ascii="Arial" w:hAnsi="Arial" w:cs="Arial"/>
                <w:b/>
                <w:bCs/>
                <w:u w:val="single"/>
              </w:rPr>
              <w:t>totale giorni di supercampagna anno 2018 = 14 giorni</w:t>
            </w:r>
            <w:r>
              <w:rPr>
                <w:rFonts w:ascii="Arial" w:hAnsi="Arial" w:cs="Arial"/>
              </w:rPr>
              <w:t xml:space="preserve"> ; 14:30 = 0</w:t>
            </w:r>
            <w:r>
              <w:rPr>
                <w:rFonts w:ascii="Arial" w:hAnsi="Arial" w:cs="Arial"/>
                <w:b/>
                <w:bCs/>
                <w:u w:val="single"/>
              </w:rPr>
              <w:t xml:space="preserve"> ratei interi</w:t>
            </w:r>
            <w:r>
              <w:rPr>
                <w:rFonts w:ascii="Arial" w:hAnsi="Arial" w:cs="Arial"/>
              </w:rPr>
              <w:t>  con un residuo pari a giorni 14;</w:t>
            </w:r>
          </w:p>
          <w:p w:rsidR="007912C2" w:rsidRDefault="007912C2" w:rsidP="007912C2">
            <w:pPr>
              <w:spacing w:before="100" w:beforeAutospacing="1" w:after="100" w:afterAutospacing="1" w:line="256" w:lineRule="auto"/>
              <w:ind w:left="284"/>
              <w:jc w:val="both"/>
            </w:pPr>
            <w:r>
              <w:rPr>
                <w:rFonts w:ascii="Arial" w:hAnsi="Arial" w:cs="Arial"/>
              </w:rPr>
              <w:t> </w:t>
            </w:r>
            <w:r>
              <w:rPr>
                <w:rFonts w:ascii="Arial" w:hAnsi="Arial" w:cs="Arial"/>
                <w:b/>
                <w:bCs/>
                <w:u w:val="single"/>
              </w:rPr>
              <w:t>totale giorni di base + trascinamento anno 2018 = 260 giorni</w:t>
            </w:r>
            <w:r>
              <w:rPr>
                <w:rFonts w:ascii="Arial" w:hAnsi="Arial" w:cs="Arial"/>
              </w:rPr>
              <w:t xml:space="preserve"> ; 260:30 = </w:t>
            </w:r>
            <w:r>
              <w:rPr>
                <w:rFonts w:ascii="Arial" w:hAnsi="Arial" w:cs="Arial"/>
                <w:b/>
                <w:bCs/>
                <w:u w:val="single"/>
              </w:rPr>
              <w:t>8 ratei al 50%</w:t>
            </w:r>
            <w:r>
              <w:rPr>
                <w:rFonts w:ascii="Arial" w:hAnsi="Arial" w:cs="Arial"/>
              </w:rPr>
              <w:t>  con un residuo pari a giorni 20;</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xml:space="preserve">Totale residuo giorni 01 + 14 + 20 = 35; avendo maturato un numero di giorni superiore a quindici  matura un ulteriore rateo di  base + trascinamento (maggior numero di giorni residui di indennità di base + trascinamento). </w:t>
            </w:r>
          </w:p>
          <w:p w:rsidR="007912C2" w:rsidRDefault="007912C2" w:rsidP="007912C2">
            <w:pPr>
              <w:spacing w:before="100" w:beforeAutospacing="1" w:after="100" w:afterAutospacing="1" w:line="256" w:lineRule="auto"/>
              <w:ind w:left="284"/>
              <w:jc w:val="both"/>
            </w:pPr>
            <w:r>
              <w:rPr>
                <w:rFonts w:ascii="Arial" w:hAnsi="Arial" w:cs="Arial"/>
              </w:rPr>
              <w:t>Riepilogando:</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3 ratei  indennità di imbarco  al 100% 13^ mensilità anno 2018;</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0 ratei  indennità di supecampagna 13^ mensilità anno 2018;</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9 ratei  indennità di base + trascinamento al 50% 13^ mensilità anno 2018.</w:t>
            </w:r>
          </w:p>
          <w:p w:rsidR="007912C2" w:rsidRDefault="007912C2" w:rsidP="007912C2">
            <w:pPr>
              <w:spacing w:before="100" w:beforeAutospacing="1" w:after="100" w:afterAutospacing="1" w:line="256" w:lineRule="auto"/>
              <w:ind w:left="284"/>
              <w:jc w:val="both"/>
            </w:pPr>
          </w:p>
          <w:p w:rsidR="007912C2" w:rsidRDefault="007912C2" w:rsidP="007912C2">
            <w:pPr>
              <w:spacing w:before="100" w:beforeAutospacing="1" w:after="100" w:afterAutospacing="1" w:line="256" w:lineRule="auto"/>
              <w:ind w:left="284"/>
              <w:jc w:val="both"/>
            </w:pPr>
            <w:r>
              <w:rPr>
                <w:rFonts w:ascii="Arial" w:hAnsi="Arial" w:cs="Arial"/>
                <w:b/>
                <w:bCs/>
              </w:rPr>
              <w:t>Il calcolo sarà effettuato così come segue:</w:t>
            </w:r>
          </w:p>
          <w:p w:rsidR="007912C2" w:rsidRDefault="007912C2" w:rsidP="007912C2">
            <w:pPr>
              <w:spacing w:before="100" w:beforeAutospacing="1" w:after="100" w:afterAutospacing="1" w:line="256" w:lineRule="auto"/>
              <w:ind w:left="284"/>
              <w:jc w:val="both"/>
            </w:pPr>
            <w:r>
              <w:rPr>
                <w:rFonts w:ascii="Arial" w:hAnsi="Arial" w:cs="Arial"/>
              </w:rPr>
              <w:t>-</w:t>
            </w:r>
            <w:r>
              <w:rPr>
                <w:sz w:val="14"/>
                <w:szCs w:val="14"/>
              </w:rPr>
              <w:t xml:space="preserve">  </w:t>
            </w:r>
            <w:r>
              <w:rPr>
                <w:rFonts w:ascii="Arial" w:hAnsi="Arial" w:cs="Arial"/>
                <w:b/>
                <w:bCs/>
              </w:rPr>
              <w:t>indennità di imbarco spettante al 100% : 12 x 3 ratei;</w:t>
            </w:r>
          </w:p>
          <w:p w:rsidR="007912C2" w:rsidRDefault="007912C2" w:rsidP="007912C2">
            <w:pPr>
              <w:spacing w:before="100" w:beforeAutospacing="1" w:after="100" w:afterAutospacing="1" w:line="256" w:lineRule="auto"/>
              <w:ind w:left="284"/>
              <w:jc w:val="both"/>
            </w:pPr>
            <w:r>
              <w:rPr>
                <w:rFonts w:ascii="Arial" w:hAnsi="Arial" w:cs="Arial"/>
              </w:rPr>
              <w:t>-</w:t>
            </w:r>
            <w:r>
              <w:rPr>
                <w:sz w:val="14"/>
                <w:szCs w:val="14"/>
              </w:rPr>
              <w:t xml:space="preserve">  </w:t>
            </w:r>
            <w:r>
              <w:rPr>
                <w:rFonts w:ascii="Arial" w:hAnsi="Arial" w:cs="Arial"/>
                <w:b/>
                <w:bCs/>
              </w:rPr>
              <w:t>indennità di base + trascinamento  al 50% spettante : 12 x 50% x 9 ratei.</w:t>
            </w:r>
          </w:p>
          <w:p w:rsidR="007912C2" w:rsidRDefault="007912C2" w:rsidP="007912C2">
            <w:pPr>
              <w:spacing w:before="100" w:beforeAutospacing="1" w:after="100" w:afterAutospacing="1" w:line="256" w:lineRule="auto"/>
              <w:ind w:left="284"/>
              <w:jc w:val="both"/>
            </w:pPr>
            <w:r>
              <w:rPr>
                <w:rFonts w:ascii="Arial" w:hAnsi="Arial" w:cs="Arial"/>
                <w:b/>
                <w:bCs/>
              </w:rPr>
              <w:t xml:space="preserve">Si precisa, inoltre, che il totale dei periodi non deve superare i 12 ratei e che nel mese in cui si verificano una o più riduzioni, il rateo dovrà essere associato alla percentuale con maggior numero di giorni (in questo caso il 50%). </w:t>
            </w:r>
          </w:p>
          <w:p w:rsidR="007912C2" w:rsidRDefault="007912C2" w:rsidP="007912C2">
            <w:pPr>
              <w:spacing w:before="100" w:beforeAutospacing="1" w:after="100" w:afterAutospacing="1" w:line="256" w:lineRule="auto"/>
              <w:ind w:left="284"/>
              <w:jc w:val="both"/>
            </w:pPr>
            <w:r>
              <w:rPr>
                <w:rFonts w:ascii="Arial" w:hAnsi="Arial" w:cs="Arial"/>
                <w:b/>
                <w:bCs/>
              </w:rPr>
              <w:t> </w:t>
            </w:r>
          </w:p>
          <w:p w:rsidR="007912C2" w:rsidRDefault="007912C2" w:rsidP="007912C2">
            <w:pPr>
              <w:spacing w:before="100" w:beforeAutospacing="1" w:after="100" w:afterAutospacing="1" w:line="256" w:lineRule="auto"/>
              <w:ind w:left="284"/>
              <w:jc w:val="both"/>
            </w:pPr>
            <w:r>
              <w:rPr>
                <w:rFonts w:ascii="Arial" w:hAnsi="Arial" w:cs="Arial"/>
                <w:b/>
                <w:bCs/>
                <w:sz w:val="20"/>
                <w:szCs w:val="20"/>
                <w:u w:val="single"/>
                <w:shd w:val="clear" w:color="auto" w:fill="C0C0C0"/>
              </w:rPr>
              <w:t>CASO DI RIDUZIONE PER CONGEDO PARENTALE</w:t>
            </w:r>
            <w:r>
              <w:rPr>
                <w:rFonts w:ascii="Arial" w:hAnsi="Arial" w:cs="Arial"/>
                <w:b/>
                <w:bCs/>
                <w:sz w:val="20"/>
                <w:szCs w:val="20"/>
              </w:rPr>
              <w:t xml:space="preserve">: </w:t>
            </w:r>
          </w:p>
          <w:p w:rsidR="007912C2" w:rsidRDefault="007912C2" w:rsidP="007912C2">
            <w:pPr>
              <w:spacing w:before="100" w:beforeAutospacing="1" w:after="100" w:afterAutospacing="1" w:line="256" w:lineRule="auto"/>
              <w:ind w:left="284"/>
              <w:jc w:val="both"/>
            </w:pPr>
            <w:r>
              <w:rPr>
                <w:rFonts w:ascii="Arial" w:hAnsi="Arial" w:cs="Arial"/>
              </w:rPr>
              <w:lastRenderedPageBreak/>
              <w:t>Al fine di definire il numero dei ratei della 13^ mensilità relativi alle indennità operative fondamentali si dovrà tenere conto sia della riduzione, che delle varie indennità percepite in funzione delle tipologie d’impiego nel corso dell’anno.</w:t>
            </w:r>
          </w:p>
          <w:p w:rsidR="007912C2" w:rsidRDefault="007912C2" w:rsidP="007912C2">
            <w:pPr>
              <w:spacing w:before="100" w:beforeAutospacing="1" w:after="100" w:afterAutospacing="1" w:line="256" w:lineRule="auto"/>
              <w:ind w:left="284"/>
              <w:jc w:val="both"/>
            </w:pPr>
            <w:r>
              <w:rPr>
                <w:rFonts w:ascii="Arial" w:hAnsi="Arial" w:cs="Arial"/>
              </w:rPr>
              <w:t xml:space="preserve">Pertanto, si specifica nel dettaglio il procedimento di calcolo dei ratei 13^ mensilità su operative fondamentali </w:t>
            </w:r>
            <w:r>
              <w:rPr>
                <w:rFonts w:ascii="Arial" w:hAnsi="Arial" w:cs="Arial"/>
                <w:b/>
                <w:bCs/>
              </w:rPr>
              <w:t>per riduzione congedo parentale:</w:t>
            </w:r>
          </w:p>
          <w:p w:rsidR="007912C2" w:rsidRDefault="007912C2" w:rsidP="007912C2">
            <w:pPr>
              <w:spacing w:before="100" w:beforeAutospacing="1" w:after="100" w:afterAutospacing="1" w:line="256" w:lineRule="auto"/>
              <w:ind w:left="786"/>
              <w:jc w:val="both"/>
            </w:pPr>
            <w:r>
              <w:rPr>
                <w:rFonts w:ascii="Arial" w:hAnsi="Arial" w:cs="Arial"/>
                <w:b/>
                <w:bCs/>
              </w:rPr>
              <w:t>                                              </w:t>
            </w:r>
          </w:p>
          <w:tbl>
            <w:tblPr>
              <w:tblpPr w:leftFromText="141" w:rightFromText="141" w:vertAnchor="text"/>
              <w:tblW w:w="0" w:type="dxa"/>
              <w:tblLayout w:type="fixed"/>
              <w:tblCellMar>
                <w:left w:w="0" w:type="dxa"/>
                <w:right w:w="0" w:type="dxa"/>
              </w:tblCellMar>
              <w:tblLook w:val="04A0" w:firstRow="1" w:lastRow="0" w:firstColumn="1" w:lastColumn="0" w:noHBand="0" w:noVBand="1"/>
            </w:tblPr>
            <w:tblGrid>
              <w:gridCol w:w="3085"/>
              <w:gridCol w:w="2410"/>
              <w:gridCol w:w="992"/>
              <w:gridCol w:w="992"/>
              <w:gridCol w:w="1134"/>
              <w:gridCol w:w="709"/>
            </w:tblGrid>
            <w:tr w:rsidR="007912C2" w:rsidTr="007912C2">
              <w:trPr>
                <w:trHeight w:val="75"/>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ind w:left="284"/>
                    <w:jc w:val="center"/>
                  </w:pPr>
                  <w:r>
                    <w:rPr>
                      <w:rFonts w:ascii="Arial" w:hAnsi="Arial" w:cs="Arial"/>
                      <w:b/>
                      <w:bCs/>
                    </w:rPr>
                    <w:t>periodo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tipo impiego</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(i.)</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 (b + 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0"/>
                      <w:szCs w:val="20"/>
                    </w:rPr>
                    <w:t>g.g.</w:t>
                  </w:r>
                </w:p>
              </w:tc>
            </w:tr>
            <w:tr w:rsidR="007912C2" w:rsidTr="007912C2">
              <w:trPr>
                <w:trHeight w:val="283"/>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01/01/2018 al 14/01/2018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283"/>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15/01/2018 al 13/04/2018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89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20"/>
                      <w:szCs w:val="20"/>
                    </w:rPr>
                    <w:t>Dal 14/04/2018 al 13/10/2018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Indennità operativa base   +                               trascinamento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183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289"/>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14/10/2018 al 31/12/2011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Competenze 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79</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 xml:space="preserve">Totale giorni  imbarco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14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89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259"/>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base + trascinamento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183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r>
            <w:tr w:rsidR="007912C2" w:rsidTr="007912C2">
              <w:trPr>
                <w:trHeight w:val="259"/>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competenze 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79</w:t>
                  </w:r>
                </w:p>
              </w:tc>
            </w:tr>
          </w:tbl>
          <w:p w:rsidR="007912C2" w:rsidRDefault="007912C2" w:rsidP="007912C2">
            <w:pPr>
              <w:spacing w:before="100" w:beforeAutospacing="1" w:after="100" w:afterAutospacing="1" w:line="256" w:lineRule="auto"/>
              <w:ind w:left="426"/>
              <w:jc w:val="both"/>
              <w:rPr>
                <w:rFonts w:ascii="Times New Roman" w:hAnsi="Times New Roman"/>
                <w:sz w:val="24"/>
                <w:szCs w:val="24"/>
              </w:rPr>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 </w:t>
            </w:r>
          </w:p>
          <w:p w:rsidR="007912C2" w:rsidRDefault="007912C2" w:rsidP="007912C2">
            <w:pPr>
              <w:spacing w:before="100" w:beforeAutospacing="1" w:after="100" w:afterAutospacing="1" w:line="256" w:lineRule="auto"/>
              <w:ind w:left="567"/>
              <w:jc w:val="both"/>
            </w:pPr>
            <w:r>
              <w:rPr>
                <w:rFonts w:ascii="Arial" w:hAnsi="Arial" w:cs="Arial"/>
              </w:rPr>
              <w:t> </w:t>
            </w:r>
          </w:p>
          <w:p w:rsidR="007912C2" w:rsidRDefault="007912C2" w:rsidP="007912C2">
            <w:pPr>
              <w:spacing w:before="100" w:beforeAutospacing="1" w:after="100" w:afterAutospacing="1" w:line="256" w:lineRule="auto"/>
              <w:ind w:left="567"/>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Di conseguenza i ratei saranno corrisposti così come segue:</w:t>
            </w:r>
          </w:p>
          <w:p w:rsidR="007912C2" w:rsidRDefault="007912C2" w:rsidP="007912C2">
            <w:pPr>
              <w:spacing w:before="100" w:beforeAutospacing="1" w:after="100" w:afterAutospacing="1" w:line="256" w:lineRule="auto"/>
              <w:ind w:left="284"/>
              <w:jc w:val="both"/>
            </w:pPr>
            <w:r>
              <w:rPr>
                <w:rFonts w:ascii="Arial" w:hAnsi="Arial" w:cs="Arial"/>
                <w:b/>
                <w:bCs/>
                <w:u w:val="single"/>
              </w:rPr>
              <w:t>totale giorni di imbarco anno 2018 = 14 giorni</w:t>
            </w:r>
            <w:r>
              <w:rPr>
                <w:rFonts w:ascii="Arial" w:hAnsi="Arial" w:cs="Arial"/>
              </w:rPr>
              <w:t xml:space="preserve"> ; 14/30 = </w:t>
            </w:r>
            <w:r>
              <w:rPr>
                <w:rFonts w:ascii="Arial" w:hAnsi="Arial" w:cs="Arial"/>
                <w:b/>
                <w:bCs/>
                <w:u w:val="single"/>
              </w:rPr>
              <w:t>0 ratei interi</w:t>
            </w:r>
            <w:r>
              <w:rPr>
                <w:rFonts w:ascii="Arial" w:hAnsi="Arial" w:cs="Arial"/>
              </w:rPr>
              <w:t>  con un residui pari a giorni 14;</w:t>
            </w:r>
          </w:p>
          <w:p w:rsidR="007912C2" w:rsidRDefault="007912C2" w:rsidP="007912C2">
            <w:pPr>
              <w:spacing w:before="100" w:beforeAutospacing="1" w:after="100" w:afterAutospacing="1" w:line="256" w:lineRule="auto"/>
              <w:ind w:left="284"/>
              <w:jc w:val="both"/>
            </w:pPr>
            <w:r>
              <w:rPr>
                <w:rFonts w:ascii="Arial" w:hAnsi="Arial" w:cs="Arial"/>
                <w:b/>
                <w:bCs/>
                <w:u w:val="single"/>
              </w:rPr>
              <w:t>totale giorni di supercampagna anno 2018 = 89 giorni</w:t>
            </w:r>
            <w:r>
              <w:rPr>
                <w:rFonts w:ascii="Arial" w:hAnsi="Arial" w:cs="Arial"/>
              </w:rPr>
              <w:t xml:space="preserve"> ; 89/30 = 2</w:t>
            </w:r>
            <w:r>
              <w:rPr>
                <w:rFonts w:ascii="Arial" w:hAnsi="Arial" w:cs="Arial"/>
                <w:b/>
                <w:bCs/>
                <w:u w:val="single"/>
              </w:rPr>
              <w:t xml:space="preserve"> ratei interi</w:t>
            </w:r>
            <w:r>
              <w:rPr>
                <w:rFonts w:ascii="Arial" w:hAnsi="Arial" w:cs="Arial"/>
              </w:rPr>
              <w:t xml:space="preserve">  con un residuo pari a giorni 29;   </w:t>
            </w:r>
          </w:p>
          <w:p w:rsidR="007912C2" w:rsidRDefault="007912C2" w:rsidP="007912C2">
            <w:pPr>
              <w:spacing w:before="100" w:beforeAutospacing="1" w:after="100" w:afterAutospacing="1" w:line="256" w:lineRule="auto"/>
              <w:ind w:left="284"/>
              <w:jc w:val="both"/>
            </w:pPr>
            <w:r>
              <w:rPr>
                <w:rFonts w:ascii="Arial" w:hAnsi="Arial" w:cs="Arial"/>
                <w:b/>
                <w:bCs/>
                <w:u w:val="single"/>
              </w:rPr>
              <w:t>totale giorni di base + trascinamento anno 2018 = 183 giorni</w:t>
            </w:r>
            <w:r>
              <w:rPr>
                <w:rFonts w:ascii="Arial" w:hAnsi="Arial" w:cs="Arial"/>
              </w:rPr>
              <w:t xml:space="preserve"> ; 183/30 = </w:t>
            </w:r>
            <w:r>
              <w:rPr>
                <w:rFonts w:ascii="Arial" w:hAnsi="Arial" w:cs="Arial"/>
                <w:b/>
                <w:bCs/>
                <w:u w:val="single"/>
              </w:rPr>
              <w:t>6 ratei interi</w:t>
            </w:r>
            <w:r>
              <w:rPr>
                <w:rFonts w:ascii="Arial" w:hAnsi="Arial" w:cs="Arial"/>
              </w:rPr>
              <w:t>  con un residuo pari a giorni 3;</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lastRenderedPageBreak/>
              <w:t xml:space="preserve">Totale residuo giorni 14 + 29 + 3 = 46; avendo maturato un numero di giorni superiore a quindici  matura un ulteriore rateo di  (maggior numero di giorni residui di indennità supercampagna di base + trascinamento) .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ind w:left="284"/>
              <w:jc w:val="both"/>
            </w:pPr>
            <w:r>
              <w:rPr>
                <w:rFonts w:ascii="Arial" w:hAnsi="Arial" w:cs="Arial"/>
              </w:rPr>
              <w:t>Riepilogando:</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0 ratei  indennità di imbarco  al 100% 13^ mensilità anno 2018;</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3 ratei indennità di super campagna  al 100% 13^ mensilità anno 2018;</w:t>
            </w:r>
          </w:p>
          <w:p w:rsidR="007912C2" w:rsidRDefault="007912C2" w:rsidP="007912C2">
            <w:pPr>
              <w:spacing w:before="100" w:beforeAutospacing="1" w:after="100" w:afterAutospacing="1" w:line="256" w:lineRule="auto"/>
              <w:ind w:left="284"/>
              <w:jc w:val="both"/>
            </w:pPr>
            <w:r>
              <w:rPr>
                <w:rFonts w:ascii="Arial" w:hAnsi="Arial" w:cs="Arial"/>
                <w:b/>
                <w:bCs/>
                <w:u w:val="single"/>
              </w:rPr>
              <w:t>Totale n° 6 ratei indennità di base + trascinamento al 30% 13^ mensilità anno 2018</w:t>
            </w:r>
            <w:r>
              <w:rPr>
                <w:rFonts w:ascii="Arial" w:hAnsi="Arial" w:cs="Arial"/>
              </w:rPr>
              <w:t>.</w:t>
            </w:r>
            <w:r>
              <w:rPr>
                <w:rFonts w:ascii="Arial" w:hAnsi="Arial" w:cs="Arial"/>
                <w:b/>
                <w:bCs/>
              </w:rPr>
              <w:t xml:space="preserve"> </w:t>
            </w:r>
          </w:p>
          <w:p w:rsidR="007912C2" w:rsidRDefault="007912C2" w:rsidP="007912C2">
            <w:pPr>
              <w:spacing w:before="100" w:beforeAutospacing="1" w:after="100" w:afterAutospacing="1" w:line="256" w:lineRule="auto"/>
              <w:jc w:val="both"/>
            </w:pPr>
          </w:p>
          <w:p w:rsidR="007912C2" w:rsidRDefault="007912C2" w:rsidP="007912C2">
            <w:pPr>
              <w:spacing w:before="100" w:beforeAutospacing="1" w:after="100" w:afterAutospacing="1" w:line="256" w:lineRule="auto"/>
              <w:jc w:val="both"/>
            </w:pPr>
            <w:r>
              <w:rPr>
                <w:rFonts w:ascii="Arial" w:hAnsi="Arial" w:cs="Arial"/>
                <w:b/>
                <w:bCs/>
                <w:sz w:val="20"/>
                <w:szCs w:val="20"/>
                <w:u w:val="single"/>
                <w:shd w:val="clear" w:color="auto" w:fill="C0C0C0"/>
              </w:rPr>
              <w:t>CASO DI CESSAZIONE DAL SERVIZIO PER DECESSO DAL 15 APRILE 2018</w:t>
            </w:r>
            <w:r>
              <w:rPr>
                <w:rFonts w:ascii="Arial" w:hAnsi="Arial" w:cs="Arial"/>
                <w:b/>
                <w:bCs/>
                <w:sz w:val="20"/>
                <w:szCs w:val="20"/>
              </w:rPr>
              <w:t xml:space="preserve">; </w:t>
            </w:r>
            <w:r>
              <w:rPr>
                <w:rFonts w:ascii="Arial" w:hAnsi="Arial" w:cs="Arial"/>
                <w:b/>
                <w:bCs/>
              </w:rPr>
              <w:t>il calcolo della 13^ mensilità verrà effettuato così come segue:</w:t>
            </w:r>
          </w:p>
          <w:p w:rsidR="007912C2" w:rsidRDefault="007912C2" w:rsidP="007912C2">
            <w:pPr>
              <w:spacing w:before="100" w:beforeAutospacing="1" w:after="100" w:afterAutospacing="1" w:line="256" w:lineRule="auto"/>
              <w:jc w:val="both"/>
            </w:pPr>
            <w:r>
              <w:rPr>
                <w:rFonts w:ascii="Arial" w:hAnsi="Arial" w:cs="Arial"/>
              </w:rPr>
              <w:t xml:space="preserve">Al fine di definire i ratei della 13^ mensilità, si dovrà tenere conto delle varie indennità percepite in funzione delle tipologie d’impiego che si sono succedute nel corso dell’anno. Al riguardo, si deve tener conto che nel mese del decesso l’indennità si considera maturata per tutto il mese (30 gg), non rilevando la data del decesso (DPR 432/72 art. 4). Pertanto, si specifica di seguito il procedimento di calcolo dei ratei 13^ mensilità su operative fondamentali </w:t>
            </w:r>
            <w:r>
              <w:rPr>
                <w:rFonts w:ascii="Arial" w:hAnsi="Arial" w:cs="Arial"/>
                <w:b/>
                <w:bCs/>
              </w:rPr>
              <w:t>per cessazione dal servizio per decesso dal 15 aprile 2018:</w:t>
            </w:r>
          </w:p>
          <w:p w:rsidR="007912C2" w:rsidRDefault="007912C2" w:rsidP="007912C2">
            <w:pPr>
              <w:spacing w:before="100" w:beforeAutospacing="1" w:after="100" w:afterAutospacing="1" w:line="256" w:lineRule="auto"/>
              <w:ind w:left="786"/>
              <w:jc w:val="both"/>
            </w:pPr>
            <w:r>
              <w:rPr>
                <w:rFonts w:ascii="Arial" w:hAnsi="Arial" w:cs="Arial"/>
                <w:b/>
                <w:bCs/>
              </w:rPr>
              <w:t>                                              </w:t>
            </w:r>
          </w:p>
          <w:tbl>
            <w:tblPr>
              <w:tblpPr w:leftFromText="141" w:rightFromText="141" w:vertAnchor="text"/>
              <w:tblW w:w="0" w:type="dxa"/>
              <w:tblLayout w:type="fixed"/>
              <w:tblCellMar>
                <w:left w:w="0" w:type="dxa"/>
                <w:right w:w="0" w:type="dxa"/>
              </w:tblCellMar>
              <w:tblLook w:val="04A0" w:firstRow="1" w:lastRow="0" w:firstColumn="1" w:lastColumn="0" w:noHBand="0" w:noVBand="1"/>
            </w:tblPr>
            <w:tblGrid>
              <w:gridCol w:w="3085"/>
              <w:gridCol w:w="2410"/>
              <w:gridCol w:w="992"/>
              <w:gridCol w:w="992"/>
              <w:gridCol w:w="851"/>
              <w:gridCol w:w="992"/>
            </w:tblGrid>
            <w:tr w:rsidR="007912C2" w:rsidTr="007912C2">
              <w:trPr>
                <w:trHeight w:val="75"/>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ind w:left="284"/>
                    <w:jc w:val="center"/>
                  </w:pPr>
                  <w:r>
                    <w:rPr>
                      <w:rFonts w:ascii="Arial" w:hAnsi="Arial" w:cs="Arial"/>
                      <w:b/>
                      <w:bCs/>
                    </w:rPr>
                    <w:t>periodo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xml:space="preserve">tipo impiego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 (i.)</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g.g.</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01/01/2018 al 16/01/2018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16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17/01/2018 al 22/03/2018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340"/>
              </w:trPr>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rFonts w:ascii="Arial" w:hAnsi="Arial" w:cs="Arial"/>
                      <w:sz w:val="18"/>
                      <w:szCs w:val="18"/>
                    </w:rPr>
                    <w:t>Dal 23/03/2018 al 14/04/2018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38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sz w:val="20"/>
                      <w:szCs w:val="20"/>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right"/>
                  </w:pPr>
                  <w:r>
                    <w:rPr>
                      <w:b/>
                      <w:bCs/>
                    </w:rPr>
                    <w:t>Totale giorni supercampagna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54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8"/>
                      <w:szCs w:val="28"/>
                    </w:rPr>
                    <w:t> </w:t>
                  </w:r>
                </w:p>
              </w:tc>
            </w:tr>
            <w:tr w:rsidR="007912C2" w:rsidTr="007912C2">
              <w:trPr>
                <w:trHeight w:val="75"/>
              </w:trPr>
              <w:tc>
                <w:tcPr>
                  <w:tcW w:w="54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C2" w:rsidRDefault="007912C2" w:rsidP="007912C2">
                  <w:pPr>
                    <w:spacing w:before="100" w:beforeAutospacing="1" w:after="100" w:afterAutospacing="1"/>
                    <w:jc w:val="right"/>
                  </w:pPr>
                  <w:r>
                    <w:rPr>
                      <w:b/>
                      <w:bCs/>
                    </w:rPr>
                    <w:t>Totale giorni imbarco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65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912C2" w:rsidRDefault="007912C2" w:rsidP="007912C2">
                  <w:pPr>
                    <w:spacing w:before="100" w:beforeAutospacing="1" w:after="100" w:afterAutospacing="1"/>
                    <w:jc w:val="center"/>
                  </w:pPr>
                  <w:r>
                    <w:rPr>
                      <w:b/>
                      <w:bCs/>
                      <w:sz w:val="28"/>
                      <w:szCs w:val="28"/>
                    </w:rPr>
                    <w:t> </w:t>
                  </w:r>
                </w:p>
              </w:tc>
            </w:tr>
          </w:tbl>
          <w:p w:rsidR="007912C2" w:rsidRDefault="007912C2" w:rsidP="007912C2">
            <w:pPr>
              <w:spacing w:before="100" w:beforeAutospacing="1" w:after="100" w:afterAutospacing="1" w:line="256" w:lineRule="auto"/>
              <w:ind w:left="426"/>
              <w:jc w:val="both"/>
              <w:rPr>
                <w:rFonts w:ascii="Times New Roman" w:hAnsi="Times New Roman"/>
                <w:sz w:val="24"/>
                <w:szCs w:val="24"/>
              </w:rPr>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ind w:left="426"/>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Di conseguenza i ratei saranno corrisposti così come segue:</w:t>
            </w:r>
          </w:p>
          <w:p w:rsidR="007912C2" w:rsidRDefault="007912C2" w:rsidP="007912C2">
            <w:pPr>
              <w:spacing w:before="100" w:beforeAutospacing="1" w:after="100" w:afterAutospacing="1" w:line="256" w:lineRule="auto"/>
              <w:jc w:val="both"/>
            </w:pPr>
            <w:r>
              <w:rPr>
                <w:rFonts w:ascii="Arial" w:hAnsi="Arial" w:cs="Arial"/>
                <w:b/>
                <w:bCs/>
                <w:u w:val="single"/>
              </w:rPr>
              <w:t>totale giorni di imbarco anno 2018 = 65 giorni</w:t>
            </w:r>
            <w:r>
              <w:rPr>
                <w:rFonts w:ascii="Arial" w:hAnsi="Arial" w:cs="Arial"/>
              </w:rPr>
              <w:t xml:space="preserve"> ; 65/30 = </w:t>
            </w:r>
            <w:r>
              <w:rPr>
                <w:rFonts w:ascii="Arial" w:hAnsi="Arial" w:cs="Arial"/>
                <w:b/>
                <w:bCs/>
                <w:u w:val="single"/>
              </w:rPr>
              <w:t>2 ratei interi</w:t>
            </w:r>
            <w:r>
              <w:rPr>
                <w:rFonts w:ascii="Arial" w:hAnsi="Arial" w:cs="Arial"/>
              </w:rPr>
              <w:t xml:space="preserve">  con un residuo pari a giorni 5; </w:t>
            </w:r>
          </w:p>
          <w:p w:rsidR="007912C2" w:rsidRDefault="007912C2" w:rsidP="007912C2">
            <w:pPr>
              <w:spacing w:before="100" w:beforeAutospacing="1" w:after="100" w:afterAutospacing="1" w:line="256" w:lineRule="auto"/>
              <w:jc w:val="both"/>
            </w:pPr>
            <w:r>
              <w:rPr>
                <w:rFonts w:ascii="Arial" w:hAnsi="Arial" w:cs="Arial"/>
                <w:b/>
                <w:bCs/>
                <w:u w:val="single"/>
              </w:rPr>
              <w:lastRenderedPageBreak/>
              <w:t>totale giorni di supercampagna anno 2018 = 54 giorni</w:t>
            </w:r>
            <w:r>
              <w:rPr>
                <w:rFonts w:ascii="Arial" w:hAnsi="Arial" w:cs="Arial"/>
              </w:rPr>
              <w:t xml:space="preserve"> ; 54/30 = </w:t>
            </w:r>
            <w:r>
              <w:rPr>
                <w:rFonts w:ascii="Arial" w:hAnsi="Arial" w:cs="Arial"/>
                <w:b/>
                <w:bCs/>
                <w:u w:val="single"/>
              </w:rPr>
              <w:t>1 rateo intero</w:t>
            </w:r>
            <w:r>
              <w:rPr>
                <w:rFonts w:ascii="Arial" w:hAnsi="Arial" w:cs="Arial"/>
              </w:rPr>
              <w:t xml:space="preserve">  con un residuo pari a giorni 24; </w:t>
            </w:r>
          </w:p>
          <w:p w:rsidR="007912C2" w:rsidRDefault="007912C2" w:rsidP="007912C2">
            <w:pPr>
              <w:spacing w:before="100" w:beforeAutospacing="1" w:after="100" w:afterAutospacing="1" w:line="256" w:lineRule="auto"/>
              <w:jc w:val="both"/>
            </w:pPr>
            <w:r>
              <w:rPr>
                <w:rFonts w:ascii="Arial" w:hAnsi="Arial" w:cs="Arial"/>
              </w:rPr>
              <w:t xml:space="preserve">Totale residuo giorni 5 + 24 = 29; avendo maturato un numero di giorni superiore a quindici matura un ulteriore rateo. </w:t>
            </w:r>
          </w:p>
          <w:p w:rsidR="007912C2" w:rsidRDefault="007912C2" w:rsidP="007912C2">
            <w:pPr>
              <w:spacing w:before="100" w:beforeAutospacing="1" w:after="100" w:afterAutospacing="1" w:line="256" w:lineRule="auto"/>
              <w:ind w:left="284"/>
              <w:jc w:val="both"/>
            </w:pPr>
            <w:r>
              <w:rPr>
                <w:rFonts w:ascii="Arial" w:hAnsi="Arial" w:cs="Arial"/>
              </w:rPr>
              <w:t> </w:t>
            </w:r>
          </w:p>
          <w:p w:rsidR="007912C2" w:rsidRDefault="007912C2" w:rsidP="007912C2">
            <w:pPr>
              <w:spacing w:before="100" w:beforeAutospacing="1" w:after="100" w:afterAutospacing="1" w:line="256" w:lineRule="auto"/>
              <w:jc w:val="both"/>
            </w:pPr>
            <w:r>
              <w:rPr>
                <w:rFonts w:ascii="Arial" w:hAnsi="Arial" w:cs="Arial"/>
              </w:rPr>
              <w:t>Riepilogando:</w:t>
            </w:r>
          </w:p>
          <w:p w:rsidR="007912C2" w:rsidRDefault="007912C2" w:rsidP="007912C2">
            <w:pPr>
              <w:spacing w:before="100" w:beforeAutospacing="1" w:after="100" w:afterAutospacing="1" w:line="256" w:lineRule="auto"/>
              <w:jc w:val="both"/>
            </w:pPr>
            <w:r>
              <w:rPr>
                <w:rFonts w:ascii="Arial" w:hAnsi="Arial" w:cs="Arial"/>
                <w:b/>
                <w:bCs/>
                <w:u w:val="single"/>
              </w:rPr>
              <w:t>Totale n° 2 ratei indennità di imbarco 13^ mensilità anno 2018;</w:t>
            </w:r>
          </w:p>
          <w:p w:rsidR="007912C2" w:rsidRDefault="007912C2" w:rsidP="007912C2">
            <w:pPr>
              <w:spacing w:before="100" w:beforeAutospacing="1" w:after="100" w:afterAutospacing="1" w:line="256" w:lineRule="auto"/>
              <w:jc w:val="both"/>
            </w:pPr>
            <w:r>
              <w:rPr>
                <w:rFonts w:ascii="Arial" w:hAnsi="Arial" w:cs="Arial"/>
                <w:b/>
                <w:bCs/>
                <w:u w:val="single"/>
              </w:rPr>
              <w:t>Totale n° 2 ratei indennità di supecampagna 13^ mensilità anno 2018;</w:t>
            </w:r>
          </w:p>
          <w:p w:rsidR="007912C2" w:rsidRDefault="007912C2" w:rsidP="007912C2"/>
          <w:permEnd w:id="1201221733"/>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309755772" w:edGrp="everyone"/>
      <w:permEnd w:id="309755772"/>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7" w:name="w2t4350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969517885" w:edGrp="everyone"/>
            <w:r>
              <w:rPr>
                <w:rFonts w:ascii="Calibri" w:hAnsi="Calibri" w:cs="Calibri"/>
                <w:szCs w:val="26"/>
              </w:rPr>
              <w:t>_</w:t>
            </w:r>
            <w:permEnd w:id="196951788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4" w:history="1">
              <w:r w:rsidRPr="007912C2">
                <w:rPr>
                  <w:rStyle w:val="Collegamentoipertestuale"/>
                  <w:rFonts w:ascii="Calibri" w:hAnsi="Calibri" w:cs="Calibri"/>
                  <w:szCs w:val="20"/>
                </w:rPr>
                <w:t>43509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5" w:history="1">
              <w:r w:rsidRPr="007912C2">
                <w:rPr>
                  <w:rStyle w:val="Collegamentoipertestuale"/>
                  <w:rFonts w:ascii="Calibri" w:hAnsi="Calibri" w:cs="Calibri"/>
                  <w:szCs w:val="20"/>
                </w:rPr>
                <w:t>37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28</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7"/>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43509 - Gestione effetto della variazione della sede d'impiego operativo (anagrafica sede)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10:22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74010255" w:edGrp="everyone" w:displacedByCustomXml="next"/>
        <w:sdt>
          <w:sdtPr>
            <w:rPr>
              <w:rFonts w:ascii="Calibri" w:hAnsi="Calibri" w:cs="Calibri"/>
              <w:color w:val="000000" w:themeColor="text1"/>
              <w:szCs w:val="20"/>
            </w:rPr>
            <w:id w:val="-118695980"/>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7401025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891902355" w:edGrp="everyone"/>
            <w:r>
              <w:rPr>
                <w:rFonts w:ascii="Calibri" w:hAnsi="Calibri" w:cs="Calibri"/>
                <w:b/>
                <w:sz w:val="26"/>
                <w:szCs w:val="26"/>
              </w:rPr>
              <w:t>Gestione effetto della variazione della sede d'impiego operativo (anagrafica sede)</w:t>
            </w:r>
            <w:permEnd w:id="891902355"/>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jc w:val="both"/>
            </w:pPr>
            <w:permStart w:id="1559172843" w:edGrp="everyone"/>
            <w:r>
              <w:t>L’operatore amministratore di amministrazione deve poter gestire (creare, modificare o disattivare) gli enti d’impiego, che rappresentano gli Enti/Distaccamenti/Reparti presso i quali l’amministrato svolge il proprio servizio. Le informazioni relative agli enti d’impiego sono regolate da particolari criteri di riservatezza affrontati nel capitolo “</w:t>
            </w:r>
            <w:r>
              <w:rPr>
                <w:i/>
                <w:iCs/>
              </w:rPr>
              <w:t>Requisiti di sicurezza e privacy</w:t>
            </w:r>
            <w:r>
              <w:t>”</w:t>
            </w:r>
          </w:p>
          <w:p w:rsidR="007912C2" w:rsidRDefault="007912C2" w:rsidP="007912C2">
            <w:pPr>
              <w:spacing w:before="100" w:beforeAutospacing="1"/>
              <w:jc w:val="both"/>
            </w:pPr>
            <w:r>
              <w:t> </w:t>
            </w:r>
          </w:p>
          <w:p w:rsidR="007912C2" w:rsidRDefault="007912C2" w:rsidP="007912C2">
            <w:pPr>
              <w:spacing w:before="100" w:beforeAutospacing="1" w:after="100" w:afterAutospacing="1"/>
              <w:jc w:val="both"/>
            </w:pPr>
            <w:r>
              <w:lastRenderedPageBreak/>
              <w:t>Ogni ente d’impiego è gestito da un ente amministrativo (Ufficio di servizio) collocato nell’ambito di ciascuna Forza Armata (Ufficio Responsabile).</w:t>
            </w:r>
          </w:p>
          <w:p w:rsidR="007912C2" w:rsidRDefault="007912C2" w:rsidP="007912C2">
            <w:pPr>
              <w:spacing w:before="100" w:beforeAutospacing="1" w:after="100" w:afterAutospacing="1"/>
            </w:pPr>
            <w:r>
              <w:t xml:space="preserve">L’informazione sugli enti d’impiego dove presta o ha prestato servizio l’amministrato è importante sul sistema di gestione delle indennità di impiego operativo perché consente: </w:t>
            </w:r>
          </w:p>
          <w:p w:rsidR="007912C2" w:rsidRDefault="007912C2" w:rsidP="007912C2">
            <w:pPr>
              <w:pStyle w:val="Paragrafoelenco"/>
              <w:ind w:hanging="360"/>
              <w:jc w:val="both"/>
            </w:pPr>
            <w:r>
              <w:rPr>
                <w:rFonts w:ascii="Symbol" w:hAnsi="Symbol"/>
              </w:rPr>
              <w:t></w:t>
            </w:r>
            <w:r>
              <w:rPr>
                <w:sz w:val="14"/>
                <w:szCs w:val="14"/>
              </w:rPr>
              <w:t xml:space="preserve">         </w:t>
            </w:r>
            <w:r>
              <w:t xml:space="preserve">l’attribuzione automatica dell’indennità fondamentale laddove connessa alla </w:t>
            </w:r>
            <w:r>
              <w:rPr>
                <w:b/>
                <w:bCs/>
              </w:rPr>
              <w:t>tipologia</w:t>
            </w:r>
            <w:r>
              <w:t xml:space="preserve"> dell’ente d’impiego (es. campagna, supercampagna, truppe alpine);</w:t>
            </w:r>
          </w:p>
          <w:p w:rsidR="007912C2" w:rsidRDefault="007912C2" w:rsidP="007912C2">
            <w:pPr>
              <w:pStyle w:val="Paragrafoelenco"/>
              <w:ind w:hanging="360"/>
              <w:jc w:val="both"/>
            </w:pPr>
            <w:r>
              <w:rPr>
                <w:rFonts w:ascii="Symbol" w:hAnsi="Symbol"/>
              </w:rPr>
              <w:t></w:t>
            </w:r>
            <w:r>
              <w:rPr>
                <w:sz w:val="14"/>
                <w:szCs w:val="14"/>
              </w:rPr>
              <w:t xml:space="preserve">         </w:t>
            </w:r>
            <w:r>
              <w:t xml:space="preserve">l’attribuzione automatica dell’indennità fondamentale laddove connessa alla presenza di </w:t>
            </w:r>
            <w:r>
              <w:rPr>
                <w:b/>
                <w:bCs/>
              </w:rPr>
              <w:t>caratteristiche</w:t>
            </w:r>
            <w:r>
              <w:t xml:space="preserve"> specifiche dell’ente d’impiego (es. presenza di reparti di volo, presenza di reparti di controllo spazio marittimo);</w:t>
            </w:r>
          </w:p>
          <w:p w:rsidR="007912C2" w:rsidRDefault="007912C2" w:rsidP="007912C2">
            <w:pPr>
              <w:pStyle w:val="Paragrafoelenco"/>
              <w:ind w:hanging="360"/>
              <w:jc w:val="both"/>
            </w:pPr>
            <w:r>
              <w:rPr>
                <w:rFonts w:ascii="Symbol" w:hAnsi="Symbol"/>
              </w:rPr>
              <w:t></w:t>
            </w:r>
            <w:r>
              <w:rPr>
                <w:sz w:val="14"/>
                <w:szCs w:val="14"/>
              </w:rPr>
              <w:t xml:space="preserve">         </w:t>
            </w:r>
            <w:r>
              <w:t xml:space="preserve">la corretta predisposizione </w:t>
            </w:r>
            <w:r>
              <w:rPr>
                <w:b/>
                <w:bCs/>
              </w:rPr>
              <w:t>dell’atto dispositivo</w:t>
            </w:r>
            <w:r>
              <w:t xml:space="preserve"> che riporta per ogni periodo esposto il dettaglio sull’ente presso cui l’amministrato svolge e ha svolto il servizio; </w:t>
            </w:r>
          </w:p>
          <w:p w:rsidR="007912C2" w:rsidRDefault="007912C2" w:rsidP="007912C2">
            <w:pPr>
              <w:pStyle w:val="Paragrafoelenco"/>
              <w:ind w:hanging="360"/>
              <w:jc w:val="both"/>
            </w:pPr>
            <w:r>
              <w:rPr>
                <w:rFonts w:ascii="Symbol" w:hAnsi="Symbol"/>
              </w:rPr>
              <w:t></w:t>
            </w:r>
            <w:r>
              <w:rPr>
                <w:sz w:val="14"/>
                <w:szCs w:val="14"/>
              </w:rPr>
              <w:t xml:space="preserve">         </w:t>
            </w:r>
            <w:r>
              <w:t>la corretta individuazione dell’insieme di amministrati per i quali è necessario provvedere a:</w:t>
            </w:r>
          </w:p>
          <w:p w:rsidR="007912C2" w:rsidRDefault="007912C2" w:rsidP="007912C2">
            <w:pPr>
              <w:pStyle w:val="Paragrafoelenco"/>
              <w:ind w:left="1440" w:hanging="360"/>
              <w:jc w:val="both"/>
            </w:pPr>
            <w:r>
              <w:rPr>
                <w:rStyle w:val="Rimandocommento"/>
                <w:rFonts w:ascii="Courier New" w:hAnsi="Courier New" w:cs="Courier New"/>
                <w:sz w:val="16"/>
                <w:szCs w:val="16"/>
              </w:rPr>
              <w:t>o</w:t>
            </w:r>
            <w:r>
              <w:rPr>
                <w:rStyle w:val="Rimandocommento"/>
                <w:sz w:val="14"/>
                <w:szCs w:val="14"/>
              </w:rPr>
              <w:t xml:space="preserve">    </w:t>
            </w:r>
            <w:r>
              <w:t>un ricalcolo delle spettanze nei casi di aggiornamento della natura dell’ente, a partire dalla data di decorrenza della norma che varia la natura dell’ente</w:t>
            </w:r>
            <w:r>
              <w:rPr>
                <w:rStyle w:val="Rimandocommento"/>
                <w:sz w:val="16"/>
                <w:szCs w:val="16"/>
              </w:rPr>
              <w:t>;</w:t>
            </w:r>
          </w:p>
          <w:p w:rsidR="007912C2" w:rsidRDefault="007912C2" w:rsidP="007912C2">
            <w:pPr>
              <w:pStyle w:val="Pidipagina"/>
            </w:pPr>
            <w:r>
              <w:t>Ogni ente d’impiego ha le seguenti caratteristiche:</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descrizione formale dell’ente;</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data di istituzione, data a partire dalla quale si considera attivo l’ente; nel caso non fosse conosciuta il campo potrà essere non valorizzato;</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stato, i cui valori possono essere “attivo” / “non attivo”;</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data di disattivazione, valorizzata nel caso di enti d’impiego non attivi alla data riportata sulla norma per la cessazione dell’ente:</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 xml:space="preserve">tipologia ovvero natura dall’Ente, i cui valori possono essere “campagna”, “supercampagna”,” truppa alpina”, la cui variazione ha sul sistema diversi effetti descritti nei paragrafi successivi. </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molteplici caratteristiche dell’ente (es. presenza di reparti di volo, di reparti di controllo spazio marittimo)</w:t>
            </w:r>
          </w:p>
          <w:p w:rsidR="007912C2" w:rsidRDefault="007912C2" w:rsidP="007912C2">
            <w:pPr>
              <w:pStyle w:val="Paragrafoelenco"/>
              <w:spacing w:after="0" w:afterAutospacing="0"/>
            </w:pPr>
            <w:r>
              <w:t> </w:t>
            </w:r>
          </w:p>
          <w:p w:rsidR="007912C2" w:rsidRDefault="007912C2" w:rsidP="007912C2">
            <w:pPr>
              <w:pStyle w:val="Pidipagina"/>
            </w:pPr>
            <w:r>
              <w:t>  In particolare, l’operatore amministratore di amministrazione deve poter:</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visualizzare le caratteristiche degli enti d’impiego;</w:t>
            </w:r>
          </w:p>
          <w:p w:rsidR="007912C2" w:rsidRDefault="007912C2" w:rsidP="007912C2">
            <w:pPr>
              <w:pStyle w:val="Paragrafoelenco"/>
              <w:spacing w:after="0" w:afterAutospacing="0"/>
              <w:ind w:hanging="360"/>
              <w:jc w:val="both"/>
            </w:pPr>
            <w:r>
              <w:rPr>
                <w:rFonts w:ascii="Symbol" w:hAnsi="Symbol"/>
              </w:rPr>
              <w:t></w:t>
            </w:r>
            <w:r>
              <w:rPr>
                <w:sz w:val="14"/>
                <w:szCs w:val="14"/>
              </w:rPr>
              <w:t xml:space="preserve">         </w:t>
            </w:r>
            <w:r>
              <w:t>creare un nuovo ente d’impiego, operazione necessaria in quanto la base dati fornita non è completa e necessita di essere integrata da parte degli operatori delle FFAA;</w:t>
            </w:r>
          </w:p>
          <w:p w:rsidR="007912C2" w:rsidRDefault="007912C2" w:rsidP="007912C2">
            <w:pPr>
              <w:pStyle w:val="Paragrafoelenco"/>
              <w:spacing w:after="0" w:afterAutospacing="0"/>
              <w:jc w:val="both"/>
            </w:pPr>
            <w:r>
              <w:lastRenderedPageBreak/>
              <w:t> </w:t>
            </w:r>
          </w:p>
          <w:p w:rsidR="007912C2" w:rsidRDefault="007912C2" w:rsidP="007912C2">
            <w:pPr>
              <w:pStyle w:val="NormaleWeb"/>
              <w:spacing w:line="360" w:lineRule="atLeast"/>
            </w:pPr>
            <w:r>
              <w:rPr>
                <w:rFonts w:ascii="Calibri" w:hAnsi="Calibri"/>
                <w:sz w:val="22"/>
                <w:szCs w:val="22"/>
              </w:rPr>
              <w:t>Se l'operatore di amministrazione varia gli elementi delle sedi di impiego, è necessario che il sistema ne tenga conto perché hanno un forte impatto sulla determinazione delle indennità operative e del relativo trascinamento; in particolare, è necessario che il sistema consideri i seguenti processi:</w:t>
            </w:r>
          </w:p>
          <w:p w:rsidR="007912C2" w:rsidRDefault="007912C2" w:rsidP="007912C2">
            <w:pPr>
              <w:pStyle w:val="Paragrafoelenco"/>
              <w:shd w:val="clear" w:color="auto" w:fill="FFFFFF"/>
              <w:spacing w:before="0" w:beforeAutospacing="0" w:after="0" w:afterAutospacing="0" w:line="360" w:lineRule="atLeast"/>
              <w:ind w:left="709" w:hanging="283"/>
              <w:jc w:val="both"/>
            </w:pPr>
            <w:r>
              <w:t>a)</w:t>
            </w:r>
            <w:r>
              <w:rPr>
                <w:sz w:val="14"/>
                <w:szCs w:val="14"/>
              </w:rPr>
              <w:t xml:space="preserve">    </w:t>
            </w:r>
            <w:r>
              <w:t>se viene modificato lo stato in “non attivo”, a partire dalla data di disattivazione il sistema non deve permettere il trasferimento del personale nell'ente mentre deve essere comunque visibile nel menù di selezione dell’ente da mostrare sull'atto dispositivo in base al periodo di riferimento (per un periodo pregresso nel quale l'ente era ancora attivo deve essere possibile selezionarlo); viceversa, se viene modificato lo stato in “attivo”, a partire dalla data di attivazione il sistema deve poter attribuire le indennità anche in base a tale ente di impiego (qualora siano presenti gli amministrati);</w:t>
            </w:r>
          </w:p>
          <w:p w:rsidR="007912C2" w:rsidRDefault="007912C2" w:rsidP="007912C2">
            <w:pPr>
              <w:pStyle w:val="Paragrafoelenco"/>
              <w:shd w:val="clear" w:color="auto" w:fill="FFFFFF"/>
              <w:spacing w:before="0" w:beforeAutospacing="0" w:after="0" w:afterAutospacing="0" w:line="360" w:lineRule="atLeast"/>
              <w:ind w:left="709" w:hanging="283"/>
              <w:jc w:val="both"/>
            </w:pPr>
            <w:r>
              <w:t>b)</w:t>
            </w:r>
            <w:r>
              <w:rPr>
                <w:sz w:val="14"/>
                <w:szCs w:val="14"/>
              </w:rPr>
              <w:t xml:space="preserve">    </w:t>
            </w:r>
            <w:r>
              <w:t>se vengono modificate la tipologia o le caratteristiche dell’ente impiego, il sistema deve considerare i nuovi valori per determinare o rideterminare la corretta indennità di impiego operativo (es. se ente diventa di supercampagna, per l’amministrato si determina l’indennità fondamentale di supercampagna invece che quella di campagna).</w:t>
            </w:r>
          </w:p>
          <w:p w:rsidR="007912C2" w:rsidRDefault="007912C2" w:rsidP="007912C2">
            <w:pPr>
              <w:pStyle w:val="NormaleWeb"/>
              <w:shd w:val="clear" w:color="auto" w:fill="FFFFFF"/>
              <w:spacing w:before="0" w:beforeAutospacing="0" w:after="0" w:afterAutospacing="0" w:line="360" w:lineRule="atLeast"/>
            </w:pPr>
            <w:r>
              <w:rPr>
                <w:rFonts w:ascii="Calibri" w:hAnsi="Calibri"/>
                <w:sz w:val="22"/>
                <w:szCs w:val="22"/>
              </w:rPr>
              <w:t> </w:t>
            </w:r>
          </w:p>
          <w:p w:rsidR="007912C2" w:rsidRDefault="007912C2" w:rsidP="007912C2">
            <w:pPr>
              <w:pStyle w:val="NormaleWeb"/>
              <w:shd w:val="clear" w:color="auto" w:fill="FFFFFF"/>
              <w:spacing w:before="0" w:beforeAutospacing="0" w:after="0" w:afterAutospacing="0" w:line="360" w:lineRule="atLeast"/>
            </w:pPr>
            <w:r>
              <w:rPr>
                <w:rFonts w:ascii="Calibri" w:hAnsi="Calibri"/>
                <w:sz w:val="22"/>
                <w:szCs w:val="22"/>
              </w:rPr>
              <w:t xml:space="preserve">Qualora la variazione abbia effetto retroattivo, il sistema, dopo aver effettuato le predette operazioni, deve provvedere a calcolare eventuali conguagli a credito/debito per tutto il personale interessato alla variazione; in particolare, dopo aver determinato la nuova spettanza relativa alle nuove caratteristiche dell’ente impiego (diritto), per il calcolo dei conguagli a credito/debito è necessario che si operi il consueto confronto di convenienza tra le varie indennità operative spettanti rivalutate ( es. indennità operativa derivata e il valore dell’indennità operativa di base più il trascinamento). Trovato il valore del conguaglio il sistema deve predisporsi, secondo configurazione, a una eventuale validazione degli elenchi prima della successiva applicazione stipendiale. </w:t>
            </w:r>
          </w:p>
          <w:p w:rsidR="007912C2" w:rsidRDefault="007912C2" w:rsidP="007912C2">
            <w:pPr>
              <w:pStyle w:val="NormaleWeb"/>
              <w:shd w:val="clear" w:color="auto" w:fill="FFFFFF"/>
              <w:spacing w:line="360" w:lineRule="atLeast"/>
            </w:pPr>
            <w:r>
              <w:rPr>
                <w:rFonts w:ascii="Calibri" w:hAnsi="Calibri"/>
                <w:sz w:val="22"/>
                <w:szCs w:val="22"/>
              </w:rPr>
              <w:t> </w:t>
            </w:r>
          </w:p>
          <w:p w:rsidR="007912C2" w:rsidRDefault="007912C2" w:rsidP="007912C2">
            <w:pPr>
              <w:pStyle w:val="NormaleWeb"/>
              <w:shd w:val="clear" w:color="auto" w:fill="FFFFFF"/>
              <w:spacing w:before="0" w:beforeAutospacing="0" w:after="0" w:afterAutospacing="0" w:line="360" w:lineRule="atLeast"/>
            </w:pPr>
            <w:r>
              <w:rPr>
                <w:rFonts w:ascii="Calibri" w:hAnsi="Calibri"/>
                <w:sz w:val="22"/>
                <w:szCs w:val="22"/>
              </w:rPr>
              <w:t>Il sistema deve inoltre predisporsi all'aggiornamento dell’atto dispositivo in base alle nuove caratteristiche dell’ente impiego, con la nuova percentuale di trascinamento per tutti gli amministrati interessati dalla modifica dell’ente (hanno prestato servizio presso l'ente di impiego in tale periodo); la percentuale deve essere sempre validata tramite apposito procedimento prima di essere resa applicabile.</w:t>
            </w:r>
          </w:p>
          <w:p w:rsidR="007912C2" w:rsidRDefault="007912C2" w:rsidP="007912C2">
            <w:pPr>
              <w:pStyle w:val="Paragrafoelenco"/>
              <w:spacing w:before="0" w:beforeAutospacing="0" w:after="0" w:afterAutospacing="0"/>
              <w:ind w:left="1134"/>
              <w:jc w:val="both"/>
            </w:pPr>
            <w:r>
              <w:t> </w:t>
            </w:r>
          </w:p>
          <w:p w:rsidR="007912C2" w:rsidRDefault="007912C2" w:rsidP="007912C2">
            <w:pPr>
              <w:pStyle w:val="Paragrafoelenco"/>
              <w:spacing w:before="0" w:beforeAutospacing="0" w:after="0" w:afterAutospacing="0"/>
              <w:jc w:val="both"/>
            </w:pPr>
            <w:r>
              <w:t xml:space="preserve">In particolare, per la gestione dell’attributo relativo alla </w:t>
            </w:r>
            <w:r>
              <w:rPr>
                <w:b/>
                <w:bCs/>
              </w:rPr>
              <w:t>tipologia</w:t>
            </w:r>
            <w:r>
              <w:t xml:space="preserve"> degli enti impiego, si descrive il processo che deve essere realizzato sul sistema al fine di gestire tale informazione ai fini dell’attribuzione delle indennità operative e per la predisposizione dell’atto dispositivo.</w:t>
            </w:r>
          </w:p>
          <w:p w:rsidR="007912C2" w:rsidRDefault="007912C2" w:rsidP="007912C2">
            <w:pPr>
              <w:pStyle w:val="Paragrafoelenco"/>
              <w:spacing w:before="0" w:beforeAutospacing="0" w:after="0" w:afterAutospacing="0"/>
              <w:jc w:val="both"/>
            </w:pPr>
            <w:r>
              <w:t xml:space="preserve">In generale la natura ente è valorizzata per ciascun ente impiego da parte dell’amministratore di Amministrazione e, pertanto, gli operatori di amministrazione non possono modificarla ma possono solo selezionare l’ente d’Impiego; selezionato l’ente impiego, la natura ente viene automaticamente attribuita in </w:t>
            </w:r>
            <w:r>
              <w:lastRenderedPageBreak/>
              <w:t xml:space="preserve">base all’ente dal sistema (ad es. nel prospetto relativo alla gestione del trascinamento oppure laddove sia necessario prospettare insieme tali campi). </w:t>
            </w:r>
          </w:p>
          <w:p w:rsidR="007912C2" w:rsidRDefault="007912C2" w:rsidP="007912C2">
            <w:pPr>
              <w:pStyle w:val="Paragrafoelenco"/>
              <w:spacing w:before="0" w:beforeAutospacing="0" w:after="0" w:afterAutospacing="0"/>
              <w:jc w:val="both"/>
            </w:pPr>
            <w:r>
              <w:t> </w:t>
            </w:r>
          </w:p>
          <w:p w:rsidR="007912C2" w:rsidRDefault="007912C2" w:rsidP="007912C2">
            <w:pPr>
              <w:pStyle w:val="Paragrafoelenco"/>
              <w:spacing w:before="0" w:beforeAutospacing="0" w:after="0" w:afterAutospacing="0"/>
              <w:jc w:val="both"/>
            </w:pPr>
            <w:r>
              <w:t xml:space="preserve">Tuttavia, tenuto conto che nel corso degli anni gli enti sono stati oggetto di diverse variazioni dovute ad atti interni ed esterni all’amministrazione Difesa (es. ricorsi giudiziari), tale informazione potrebbe non essere in possesso in fase di caricamento iniziale dei dati; al fine di consentire il popolamento degli atti dispositivi con il corretto abbinamento temporale Ente d’impiego-Tipologia, gli operatori di amministrazione che attualmente sono gli unici a conoscere il dato perché in possesso del giustificativo cartaceo, devono poter essere abilitati al </w:t>
            </w:r>
            <w:r>
              <w:rPr>
                <w:b/>
                <w:bCs/>
              </w:rPr>
              <w:t>popolamento</w:t>
            </w:r>
            <w:r>
              <w:t xml:space="preserve"> della tipologia dell’ente (</w:t>
            </w:r>
            <w:r>
              <w:rPr>
                <w:u w:val="single"/>
              </w:rPr>
              <w:t>tale condizione vale solamente se la tipologia dell’ente non è già presente a sistema e confermata dall’amministratore di amministrazione</w:t>
            </w:r>
            <w:r>
              <w:t xml:space="preserve">). </w:t>
            </w:r>
          </w:p>
          <w:p w:rsidR="007912C2" w:rsidRDefault="007912C2" w:rsidP="007912C2">
            <w:pPr>
              <w:pStyle w:val="Paragrafoelenco"/>
              <w:spacing w:before="0" w:beforeAutospacing="0" w:after="0" w:afterAutospacing="0"/>
              <w:jc w:val="both"/>
            </w:pPr>
            <w:r>
              <w:t xml:space="preserve">Ad esempio nel caso di un Ente che è passato da campagna a supercampagna dal 01/01/2002 l’operatore di amministrazione potrà inserire la tipologia dell’Ente differente da campagna solo per periodi antecedenti a tale data al fine di notificare all’amministratore di amministrazione che l’ente aveva natura differente nel periodo e consentire sempre all’amministratore di amministrazione, la convalida di tale dato per renderlo utilizzabile per tutti. </w:t>
            </w:r>
          </w:p>
          <w:p w:rsidR="007912C2" w:rsidRDefault="007912C2" w:rsidP="007912C2">
            <w:pPr>
              <w:pStyle w:val="Paragrafoelenco"/>
              <w:spacing w:before="0" w:beforeAutospacing="0" w:after="0" w:afterAutospacing="0"/>
              <w:jc w:val="both"/>
            </w:pPr>
            <w:r>
              <w:t xml:space="preserve">Durante tali variazioni a cura degli operatori di amministrazione, il sistema deve effettuare controlli di coerenza sui periodi inseriti dagli operatori di amministrazione per verificare se allo stesso ente sia stata attribuita una natura omogenea per lo stesso periodo, segnalando eventuali incongruenze all’amministratore di amministrazione che deve poter operare una scelta validando il dato rendendolo ufficiale per tutti. </w:t>
            </w:r>
          </w:p>
          <w:p w:rsidR="007912C2" w:rsidRDefault="007912C2" w:rsidP="007912C2">
            <w:pPr>
              <w:pStyle w:val="Paragrafoelenco"/>
              <w:spacing w:before="0" w:beforeAutospacing="0" w:after="0" w:afterAutospacing="0"/>
              <w:jc w:val="both"/>
            </w:pPr>
            <w:r>
              <w:t xml:space="preserve">Se non presente la natura dell’ente perché non valorizzata durante il caricamento iniziale, qualora gli operatori di amministrazione completino sull’atto dispositivo tale dato per un ente, il sistema deve controllare l’omogeneità delle segnalazioni con altri operatori di amministrazione per lo stesso periodo. Se le segnalazioni non sono omogenee, l’amministratore di amministrazione deve poter validare la scelta corretta con conseguente notifica all’operatore di amministrazione che aveva inserito il dato non corretto e correzione dell’atto dispositivo riportante la tipologia errata. </w:t>
            </w:r>
          </w:p>
          <w:p w:rsidR="007912C2" w:rsidRDefault="007912C2" w:rsidP="007912C2">
            <w:pPr>
              <w:pStyle w:val="Paragrafoelenco"/>
              <w:spacing w:before="0" w:beforeAutospacing="0" w:after="0" w:afterAutospacing="0"/>
              <w:jc w:val="both"/>
            </w:pPr>
            <w:r>
              <w:t xml:space="preserve">Una volta validata la tipologia dell’ente da parte dell’amministratore di amministrazione, questa vale per tutti e non deve essere più possibile variarla da parte dell’operatore di amministrazione L’amministratore di amministrazione deve poter variare la natura dell’ente anche se validata per consentire eventuali correzioni. In conseguenza di tale approvazione del dato, il sistema deve ricalcolare eventuali arretrati a debito/credito per gli amministrati e predisporsi, in base alla configurazione, all’eventuale validazione degli stessi prima dell’applicazione stipendiale. </w:t>
            </w:r>
          </w:p>
          <w:permEnd w:id="1559172843"/>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58263028" w:edGrp="everyone"/>
      <w:permEnd w:id="58263028"/>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8" w:name="w2t4351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446861485" w:edGrp="everyone"/>
            <w:r>
              <w:rPr>
                <w:rFonts w:ascii="Calibri" w:hAnsi="Calibri" w:cs="Calibri"/>
                <w:szCs w:val="26"/>
              </w:rPr>
              <w:t>_</w:t>
            </w:r>
            <w:permEnd w:id="144686148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6" w:history="1">
              <w:r w:rsidRPr="007912C2">
                <w:rPr>
                  <w:rStyle w:val="Collegamentoipertestuale"/>
                  <w:rFonts w:ascii="Calibri" w:hAnsi="Calibri" w:cs="Calibri"/>
                  <w:szCs w:val="20"/>
                </w:rPr>
                <w:t>43510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7" w:history="1">
              <w:r w:rsidRPr="007912C2">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8"/>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43510 - Gestione effetto del cambio della sede di impiego operativo (trasferimento 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10:38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6592488" w:edGrp="everyone" w:displacedByCustomXml="next"/>
        <w:sdt>
          <w:sdtPr>
            <w:rPr>
              <w:rFonts w:ascii="Calibri" w:hAnsi="Calibri" w:cs="Calibri"/>
              <w:color w:val="000000" w:themeColor="text1"/>
              <w:szCs w:val="20"/>
            </w:rPr>
            <w:id w:val="1214695493"/>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8659248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182230519" w:edGrp="everyone"/>
            <w:r>
              <w:rPr>
                <w:rFonts w:ascii="Calibri" w:hAnsi="Calibri" w:cs="Calibri"/>
                <w:b/>
                <w:sz w:val="26"/>
                <w:szCs w:val="26"/>
              </w:rPr>
              <w:t>Gestione effetto del cambio della sede di impiego operativo (trasferimento amministrato)</w:t>
            </w:r>
            <w:permEnd w:id="1182230519"/>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pStyle w:val="NormaleWeb"/>
            </w:pPr>
            <w:permStart w:id="2111376457" w:edGrp="everyone"/>
            <w:r>
              <w:t>Gli operatori di amministrazione, entrando nella funzionalità di gestione del trasferimento tra sedi, devono visualizzare l’elenco degli enti d’impiego sui quali l’amministrato ha operato durante tutta la carriera e devono poter operare sul sistema le seguenti operazioni:</w:t>
            </w:r>
          </w:p>
          <w:p w:rsidR="007912C2" w:rsidRDefault="007912C2" w:rsidP="007912C2">
            <w:pPr>
              <w:pStyle w:val="NormaleWeb"/>
            </w:pPr>
            <w:r>
              <w:t>·         la messa a disposizione degli amministrati, qualora per l’amministrato si debba operare un trasferimento a un ente d’impiego differente da quello per il quale sta operando;</w:t>
            </w:r>
          </w:p>
          <w:p w:rsidR="007912C2" w:rsidRDefault="007912C2" w:rsidP="007912C2">
            <w:pPr>
              <w:pStyle w:val="NormaleWeb"/>
            </w:pPr>
            <w:r>
              <w:t>·         la presa in carico dell’amministrato presso l’ente di nuovo impiego.</w:t>
            </w:r>
          </w:p>
          <w:p w:rsidR="007912C2" w:rsidRDefault="007912C2" w:rsidP="007912C2">
            <w:pPr>
              <w:pStyle w:val="Testocommento"/>
            </w:pPr>
            <w:r>
              <w:t xml:space="preserve">È necessario prevedere la possibilità di eseguire contemporaneamente la messa a disposizione e la presa in carico.   </w:t>
            </w:r>
          </w:p>
          <w:p w:rsidR="007912C2" w:rsidRDefault="007912C2" w:rsidP="007912C2">
            <w:pPr>
              <w:spacing w:before="100" w:beforeAutospacing="1"/>
            </w:pPr>
            <w:r>
              <w:rPr>
                <w:rFonts w:ascii="Segoe UI" w:hAnsi="Segoe UI" w:cs="Segoe UI"/>
                <w:sz w:val="18"/>
                <w:szCs w:val="18"/>
              </w:rPr>
              <w:t> </w:t>
            </w:r>
          </w:p>
          <w:p w:rsidR="007912C2" w:rsidRDefault="007912C2" w:rsidP="007912C2">
            <w:pPr>
              <w:spacing w:before="100" w:beforeAutospacing="1"/>
            </w:pPr>
            <w:r>
              <w:t>Al salvataggio della messa a disposizione il sistema deve avvisare (o bloccare in base alle configurazioni presenti) l’operatore di amministrazione cedente qualora l’atto dispositivo non sia aggiornato alla data di trasferimento dell’amministrato; il sistema deve inoltre interrompere tutte le indennità di impiego operativo di tipo supplementare, fondamentale e altre possedute, attribuendo l’indennità di impiego operativo di base più l’eventuale trascinamento delle fondamentali qualora posseduto; in particolare, qualora sia presente il trascinamento di una indennità supplementare precedentemente posseduta, il sistema deve automaticamente assegnare l’indennità di trascinamento supplementare.</w:t>
            </w:r>
          </w:p>
          <w:p w:rsidR="007912C2" w:rsidRDefault="007912C2" w:rsidP="007912C2">
            <w:pPr>
              <w:spacing w:before="100" w:beforeAutospacing="1"/>
            </w:pPr>
            <w:r>
              <w:t> </w:t>
            </w:r>
          </w:p>
          <w:p w:rsidR="007912C2" w:rsidRDefault="007912C2" w:rsidP="007912C2">
            <w:pPr>
              <w:spacing w:before="100" w:beforeAutospacing="1"/>
            </w:pPr>
            <w:r>
              <w:t xml:space="preserve">Al salvataggio della presa in carico il sistema deve automaticamente attribuire l’indennità di impiego operativo in base alle informazioni presenti e secondo le regole di attribuzione generali descritte. </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L’operatore di amministrazione che effettua la presa in carico, deve confermare/rigettare i dati suggeriti dal sistema quali la data di presa in carico (uguale al giorno successivo all’ultimo prestato nel vecchio ente) e il nuovo ente d’impiego, con l’opportunità di inserire in un campo “note” eventuali motivazioni del rigetto.</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 xml:space="preserve">Qualora il trasferimento sia relativo ad un periodo pregresso, il sistema deve calcolare eventuali arretrati a debito/credito scaturiti dalla differente assegnazione delle indennità di impiego operativo spettanti e in seguito al confronto di convenienza tra le indennità operative spettanti; gli arretrati, in coerenza con quanto stabilito in </w:t>
            </w:r>
            <w:r>
              <w:lastRenderedPageBreak/>
              <w:t>configurazione, devono oppure no essere validati dall’operatore di amministrazione dell’ente d’impiego che ha in carico l’amministrato per il periodo.</w:t>
            </w:r>
          </w:p>
          <w:p w:rsidR="007912C2" w:rsidRDefault="007912C2" w:rsidP="007912C2">
            <w:pPr>
              <w:spacing w:before="100" w:beforeAutospacing="1" w:line="276" w:lineRule="auto"/>
              <w:jc w:val="both"/>
            </w:pPr>
            <w:r>
              <w:t> </w:t>
            </w:r>
          </w:p>
          <w:p w:rsidR="007912C2" w:rsidRDefault="007912C2" w:rsidP="007912C2">
            <w:pPr>
              <w:spacing w:before="100" w:beforeAutospacing="1" w:after="100" w:afterAutospacing="1"/>
              <w:jc w:val="both"/>
            </w:pPr>
            <w:r>
              <w:t>In base alle configurazioni presenti, il sistema deve avvisare o bloccare le operazioni di messa a disposizione e presa in carico</w:t>
            </w:r>
            <w:r>
              <w:rPr>
                <w:b/>
                <w:bCs/>
              </w:rPr>
              <w:t xml:space="preserve"> </w:t>
            </w:r>
            <w:r>
              <w:t>qualora non sia aggiornato alla data della messa a disposizione l’atto dispositivo di trascinamento.</w:t>
            </w:r>
          </w:p>
          <w:p w:rsidR="007912C2" w:rsidRPr="005C18B6" w:rsidRDefault="007912C2" w:rsidP="007912C2">
            <w:pPr>
              <w:keepLines/>
              <w:rPr>
                <w:rFonts w:ascii="Calibri" w:hAnsi="Calibri" w:cs="Calibri"/>
              </w:rPr>
            </w:pPr>
            <w:r>
              <w:rPr>
                <w:rFonts w:ascii="Calibri" w:hAnsi="Calibri"/>
              </w:rPr>
              <w:t>In caso di trasferimento, il capitolo di spesa è comunque gestito dal sistema stipendiale</w:t>
            </w:r>
            <w:permEnd w:id="2111376457"/>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918630831" w:edGrp="everyone"/>
      <w:permEnd w:id="918630831"/>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29" w:name="w2t4351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656170551" w:edGrp="everyone"/>
            <w:r>
              <w:rPr>
                <w:rFonts w:ascii="Calibri" w:hAnsi="Calibri" w:cs="Calibri"/>
                <w:szCs w:val="26"/>
              </w:rPr>
              <w:t>_</w:t>
            </w:r>
            <w:permEnd w:id="65617055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8" w:history="1">
              <w:r w:rsidRPr="007912C2">
                <w:rPr>
                  <w:rStyle w:val="Collegamentoipertestuale"/>
                  <w:rFonts w:ascii="Calibri" w:hAnsi="Calibri" w:cs="Calibri"/>
                  <w:szCs w:val="20"/>
                </w:rPr>
                <w:t>43511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19" w:history="1">
              <w:r w:rsidRPr="007912C2">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29"/>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43511 - Gestione elenchi degli amministrati oggetto di aggiornamento da parte del sistema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10:42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36933549" w:edGrp="everyone" w:displacedByCustomXml="next"/>
        <w:sdt>
          <w:sdtPr>
            <w:rPr>
              <w:rFonts w:ascii="Calibri" w:hAnsi="Calibri" w:cs="Calibri"/>
              <w:color w:val="000000" w:themeColor="text1"/>
              <w:szCs w:val="20"/>
            </w:rPr>
            <w:id w:val="178330126"/>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213693354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625618603" w:edGrp="everyone"/>
            <w:r>
              <w:rPr>
                <w:rFonts w:ascii="Calibri" w:hAnsi="Calibri" w:cs="Calibri"/>
                <w:b/>
                <w:sz w:val="26"/>
                <w:szCs w:val="26"/>
              </w:rPr>
              <w:t>Gestione elenchi degli amministrati oggetto di aggiornamento da parte del sistema</w:t>
            </w:r>
            <w:permEnd w:id="625618603"/>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pStyle w:val="NormaleWeb"/>
              <w:spacing w:before="0" w:beforeAutospacing="0" w:after="0" w:afterAutospacing="0" w:line="360" w:lineRule="atLeast"/>
            </w:pPr>
            <w:permStart w:id="1116549134" w:edGrp="everyone"/>
            <w:r>
              <w:rPr>
                <w:rFonts w:ascii="Calibri" w:hAnsi="Calibri"/>
                <w:sz w:val="22"/>
                <w:szCs w:val="22"/>
              </w:rPr>
              <w:t>L’operatore di amministrazione al fine di procedere all'eventuale validazione degli importi di arretrato calcolati dal sistema (se configurati come oggetto di validazione) prima dell'applicazione stipendiale oppure se a solo scopo informativo, deve poter visualizzare un elenco di amministrati per i quali il sistema ha provveduto alla variazione del valore o dell'insieme delle indennità d’impiego operativo spettanti a seguito di:</w:t>
            </w:r>
          </w:p>
          <w:p w:rsidR="007912C2" w:rsidRDefault="007912C2" w:rsidP="007912C2">
            <w:pPr>
              <w:pStyle w:val="NormaleWeb"/>
              <w:spacing w:before="0" w:beforeAutospacing="0" w:after="0" w:afterAutospacing="0" w:line="360" w:lineRule="atLeast"/>
              <w:ind w:left="720" w:hanging="360"/>
            </w:pPr>
            <w:r>
              <w:rPr>
                <w:rFonts w:ascii="Symbol" w:hAnsi="Symbol"/>
                <w:sz w:val="20"/>
                <w:szCs w:val="20"/>
              </w:rPr>
              <w:t></w:t>
            </w:r>
            <w:r>
              <w:rPr>
                <w:sz w:val="14"/>
                <w:szCs w:val="14"/>
              </w:rPr>
              <w:t xml:space="preserve">         </w:t>
            </w:r>
            <w:r>
              <w:rPr>
                <w:rFonts w:ascii="Calibri" w:hAnsi="Calibri"/>
                <w:sz w:val="22"/>
                <w:szCs w:val="22"/>
              </w:rPr>
              <w:t>una qualsiasi variazione dei presupposti giuridici;</w:t>
            </w:r>
          </w:p>
          <w:p w:rsidR="007912C2" w:rsidRDefault="007912C2" w:rsidP="007912C2">
            <w:pPr>
              <w:pStyle w:val="NormaleWeb"/>
              <w:spacing w:before="0" w:beforeAutospacing="0" w:after="0" w:afterAutospacing="0" w:line="360" w:lineRule="atLeast"/>
              <w:ind w:left="720" w:hanging="360"/>
            </w:pPr>
            <w:r>
              <w:rPr>
                <w:rFonts w:ascii="Symbol" w:hAnsi="Symbol"/>
                <w:sz w:val="20"/>
                <w:szCs w:val="20"/>
              </w:rPr>
              <w:t></w:t>
            </w:r>
            <w:r>
              <w:rPr>
                <w:sz w:val="14"/>
                <w:szCs w:val="14"/>
              </w:rPr>
              <w:t xml:space="preserve">         </w:t>
            </w:r>
            <w:r>
              <w:rPr>
                <w:rFonts w:ascii="Calibri" w:hAnsi="Calibri"/>
                <w:sz w:val="22"/>
                <w:szCs w:val="22"/>
              </w:rPr>
              <w:t>la variazione degli importi delle indennità di impiego operativo per uno o più amministrati a seguito di procedure massive di aggiornamento quali ad esempio gli adeguamenti contrattuali, normativi o ISTAT.</w:t>
            </w:r>
          </w:p>
          <w:p w:rsidR="007912C2" w:rsidRDefault="007912C2" w:rsidP="007912C2">
            <w:pPr>
              <w:pStyle w:val="NormaleWeb"/>
              <w:spacing w:before="0" w:beforeAutospacing="0" w:after="0" w:afterAutospacing="0" w:line="360" w:lineRule="atLeast"/>
            </w:pPr>
            <w:r>
              <w:rPr>
                <w:rFonts w:ascii="Calibri" w:hAnsi="Calibri"/>
                <w:sz w:val="22"/>
                <w:szCs w:val="22"/>
              </w:rPr>
              <w:t>L’elenco deve mostrare:</w:t>
            </w:r>
          </w:p>
          <w:p w:rsidR="007912C2" w:rsidRDefault="007912C2" w:rsidP="007912C2">
            <w:pPr>
              <w:pStyle w:val="NormaleWeb"/>
              <w:spacing w:before="0" w:beforeAutospacing="0" w:after="0" w:afterAutospacing="0" w:line="360" w:lineRule="atLeast"/>
            </w:pPr>
            <w:r>
              <w:rPr>
                <w:rFonts w:ascii="Calibri" w:hAnsi="Calibri"/>
                <w:sz w:val="22"/>
                <w:szCs w:val="22"/>
              </w:rPr>
              <w:t>·         i dati generali dell’amministrato;</w:t>
            </w:r>
          </w:p>
          <w:p w:rsidR="007912C2" w:rsidRDefault="007912C2" w:rsidP="007912C2">
            <w:pPr>
              <w:pStyle w:val="NormaleWeb"/>
              <w:spacing w:before="0" w:beforeAutospacing="0" w:after="0" w:afterAutospacing="0" w:line="360" w:lineRule="atLeast"/>
            </w:pPr>
            <w:r>
              <w:rPr>
                <w:rFonts w:ascii="Calibri" w:hAnsi="Calibri"/>
                <w:sz w:val="22"/>
                <w:szCs w:val="22"/>
              </w:rPr>
              <w:t>·         il periodo oggetto di ricalcolo;</w:t>
            </w:r>
          </w:p>
          <w:p w:rsidR="007912C2" w:rsidRDefault="007912C2" w:rsidP="007912C2">
            <w:pPr>
              <w:pStyle w:val="NormaleWeb"/>
              <w:spacing w:before="0" w:beforeAutospacing="0" w:after="0" w:afterAutospacing="0" w:line="360" w:lineRule="atLeast"/>
            </w:pPr>
            <w:r>
              <w:rPr>
                <w:rFonts w:ascii="Calibri" w:hAnsi="Calibri"/>
                <w:sz w:val="22"/>
                <w:szCs w:val="22"/>
              </w:rPr>
              <w:t>·         il valore precedente e successivo delle indennità d’impiego operativo;</w:t>
            </w:r>
          </w:p>
          <w:p w:rsidR="007912C2" w:rsidRDefault="007912C2" w:rsidP="007912C2">
            <w:pPr>
              <w:pStyle w:val="NormaleWeb"/>
              <w:spacing w:before="0" w:beforeAutospacing="0" w:after="0" w:afterAutospacing="0" w:line="360" w:lineRule="atLeast"/>
            </w:pPr>
            <w:r>
              <w:rPr>
                <w:rFonts w:ascii="Calibri" w:hAnsi="Calibri"/>
                <w:sz w:val="22"/>
                <w:szCs w:val="22"/>
              </w:rPr>
              <w:t>·         Il valore dell’arretrato a credito/debito calcolato dal sistema;</w:t>
            </w:r>
          </w:p>
          <w:p w:rsidR="007912C2" w:rsidRDefault="007912C2" w:rsidP="007912C2">
            <w:pPr>
              <w:pStyle w:val="NormaleWeb"/>
              <w:spacing w:before="0" w:beforeAutospacing="0" w:after="0" w:afterAutospacing="0" w:line="360" w:lineRule="atLeast"/>
            </w:pPr>
            <w:r>
              <w:rPr>
                <w:rFonts w:ascii="Calibri" w:hAnsi="Calibri"/>
                <w:sz w:val="22"/>
                <w:szCs w:val="22"/>
              </w:rPr>
              <w:t>·         lo stato dell’arretrato a debito/credito calcolato (in attesa di validazione, validato, applicato);</w:t>
            </w:r>
          </w:p>
          <w:p w:rsidR="007912C2" w:rsidRDefault="007912C2" w:rsidP="007912C2">
            <w:pPr>
              <w:pStyle w:val="NormaleWeb"/>
              <w:spacing w:before="0" w:beforeAutospacing="0" w:after="0" w:afterAutospacing="0" w:line="360" w:lineRule="atLeast"/>
            </w:pPr>
            <w:r>
              <w:rPr>
                <w:rFonts w:ascii="Calibri" w:hAnsi="Calibri"/>
                <w:sz w:val="22"/>
                <w:szCs w:val="22"/>
              </w:rPr>
              <w:lastRenderedPageBreak/>
              <w:t>·         eventuale data di validazione e utente validatore nei casi di calcolo di arretrato a debito/credito.</w:t>
            </w:r>
          </w:p>
          <w:p w:rsidR="007912C2" w:rsidRDefault="007912C2" w:rsidP="007912C2">
            <w:pPr>
              <w:pStyle w:val="NormaleWeb"/>
              <w:spacing w:before="0" w:beforeAutospacing="0" w:after="0" w:afterAutospacing="0" w:line="360" w:lineRule="atLeast"/>
            </w:pPr>
            <w:r>
              <w:rPr>
                <w:rFonts w:ascii="Calibri" w:hAnsi="Calibri"/>
                <w:sz w:val="22"/>
                <w:szCs w:val="22"/>
              </w:rPr>
              <w:t> </w:t>
            </w:r>
          </w:p>
          <w:p w:rsidR="007912C2" w:rsidRDefault="007912C2" w:rsidP="007912C2">
            <w:pPr>
              <w:pStyle w:val="NormaleWeb"/>
              <w:spacing w:before="0" w:beforeAutospacing="0" w:after="0" w:afterAutospacing="0" w:line="360" w:lineRule="atLeast"/>
            </w:pPr>
            <w:r>
              <w:rPr>
                <w:rFonts w:ascii="Calibri" w:hAnsi="Calibri"/>
                <w:sz w:val="22"/>
                <w:szCs w:val="22"/>
              </w:rPr>
              <w:t>La procedura di applicazione dei conguagli, che in base a quanto stabilito in configurazione, può essere oggetto di validazione prima dell'applicazione economica, e prevede l’applicazione di eventuali arretrati discendenti dal confronto tra gli importi percepiti nel passato e quelli dovuti con le nuove condizioni.</w:t>
            </w:r>
          </w:p>
          <w:permEnd w:id="1116549134"/>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1894540867" w:edGrp="everyone"/>
      <w:permEnd w:id="1894540867"/>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30" w:name="w2t4351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655377813" w:edGrp="everyone"/>
            <w:r>
              <w:rPr>
                <w:rFonts w:ascii="Calibri" w:hAnsi="Calibri" w:cs="Calibri"/>
                <w:szCs w:val="26"/>
              </w:rPr>
              <w:t>_</w:t>
            </w:r>
            <w:permEnd w:id="65537781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0" w:history="1">
              <w:r w:rsidRPr="007912C2">
                <w:rPr>
                  <w:rStyle w:val="Collegamentoipertestuale"/>
                  <w:rFonts w:ascii="Calibri" w:hAnsi="Calibri" w:cs="Calibri"/>
                  <w:szCs w:val="20"/>
                </w:rPr>
                <w:t>43512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1" w:history="1">
              <w:r w:rsidRPr="007912C2">
                <w:rPr>
                  <w:rStyle w:val="Collegamentoipertestuale"/>
                  <w:rFonts w:ascii="Calibri" w:hAnsi="Calibri" w:cs="Calibri"/>
                  <w:szCs w:val="20"/>
                </w:rPr>
                <w:t>25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30"/>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43512 - Comunicazione dei periodi che variano l'anzianità di servizio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17/07/2019 16:05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23039688" w:edGrp="everyone" w:displacedByCustomXml="next"/>
        <w:sdt>
          <w:sdtPr>
            <w:rPr>
              <w:rFonts w:ascii="Calibri" w:hAnsi="Calibri" w:cs="Calibri"/>
              <w:color w:val="000000" w:themeColor="text1"/>
              <w:szCs w:val="20"/>
            </w:rPr>
            <w:id w:val="-1843228013"/>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02303968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939146287" w:edGrp="everyone"/>
            <w:r>
              <w:rPr>
                <w:rFonts w:ascii="Calibri" w:hAnsi="Calibri" w:cs="Calibri"/>
                <w:b/>
                <w:sz w:val="26"/>
                <w:szCs w:val="26"/>
              </w:rPr>
              <w:t>Comunicazione dei periodi che variano l'anzianità di servizio</w:t>
            </w:r>
            <w:permEnd w:id="1939146287"/>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jc w:val="both"/>
            </w:pPr>
            <w:permStart w:id="1369207210" w:edGrp="everyone"/>
            <w:r>
              <w:t>L’operatore di amministrazione, al fine di gestire i periodi utili/non utili ai fini dell’anzianità di servizio che rilevano (anche parzialmente) oppure non rilevano ai fini dell’attribuzione delle indennità d’impiego operativo (es. corsi di laurea, corsi di specializzazione), deve poter gestire a sistema tramite apposita funzionalità:</w:t>
            </w:r>
          </w:p>
          <w:p w:rsidR="007912C2" w:rsidRDefault="007912C2" w:rsidP="007912C2">
            <w:pPr>
              <w:numPr>
                <w:ilvl w:val="0"/>
                <w:numId w:val="14"/>
              </w:numPr>
              <w:spacing w:before="100" w:beforeAutospacing="1"/>
              <w:jc w:val="both"/>
            </w:pPr>
            <w:r>
              <w:t>Data di inizio e fine periodo di variazione dell’anzianità di servizio;</w:t>
            </w:r>
          </w:p>
          <w:p w:rsidR="007912C2" w:rsidRDefault="007912C2" w:rsidP="007912C2">
            <w:pPr>
              <w:numPr>
                <w:ilvl w:val="0"/>
                <w:numId w:val="14"/>
              </w:numPr>
              <w:spacing w:before="100" w:beforeAutospacing="1"/>
              <w:jc w:val="both"/>
            </w:pPr>
            <w:r>
              <w:t>Tipologia di variazione del servizio, selezionabile da un elenco di valori;</w:t>
            </w:r>
          </w:p>
          <w:p w:rsidR="007912C2" w:rsidRDefault="007912C2" w:rsidP="007912C2">
            <w:pPr>
              <w:numPr>
                <w:ilvl w:val="0"/>
                <w:numId w:val="14"/>
              </w:numPr>
              <w:spacing w:before="100" w:beforeAutospacing="1"/>
              <w:jc w:val="both"/>
            </w:pPr>
            <w:r>
              <w:t>Eventuali note.</w:t>
            </w:r>
          </w:p>
          <w:p w:rsidR="007912C2" w:rsidRDefault="007912C2" w:rsidP="007912C2">
            <w:pPr>
              <w:spacing w:before="100" w:beforeAutospacing="1"/>
              <w:jc w:val="both"/>
            </w:pPr>
            <w:r>
              <w:t>In base alla tipologia di variazione del servizio (utile o meno), il sistema deve calcolare e aggiornare il valore dell’anzianità di servizio comunque prestato, utile e da ufficiale.</w:t>
            </w:r>
          </w:p>
          <w:p w:rsidR="007912C2" w:rsidRDefault="007912C2" w:rsidP="007912C2">
            <w:pPr>
              <w:spacing w:before="100" w:beforeAutospacing="1"/>
              <w:jc w:val="both"/>
            </w:pPr>
            <w:r>
              <w:t> </w:t>
            </w:r>
          </w:p>
          <w:p w:rsidR="007912C2" w:rsidRDefault="007912C2" w:rsidP="007912C2">
            <w:pPr>
              <w:spacing w:before="100" w:beforeAutospacing="1"/>
              <w:jc w:val="both"/>
            </w:pPr>
            <w:r>
              <w:t>Il sistema deve mostrare i periodi comunicati all'interno della sezione relativa alla gestione dell’atto dispositivo di trascinamento, con il dettaglio delle date di inizio e fine periodo, del computo in termini di anni/mesi/giorni e dell’utilità o meno dello specifico periodo ai fini del trascinamento.</w:t>
            </w:r>
          </w:p>
          <w:p w:rsidR="007912C2" w:rsidRDefault="007912C2" w:rsidP="007912C2">
            <w:pPr>
              <w:spacing w:before="100" w:beforeAutospacing="1"/>
              <w:jc w:val="both"/>
            </w:pPr>
            <w:r>
              <w:lastRenderedPageBreak/>
              <w:t>In allegato "allegato D" si forniscono degli esempi che mostrano come viene calcolata l'anzianità di servizio a seguito della comunicazione di periodi utili e non utili.</w:t>
            </w:r>
          </w:p>
          <w:p w:rsidR="007912C2" w:rsidRDefault="007912C2" w:rsidP="007912C2">
            <w:pPr>
              <w:spacing w:before="100" w:beforeAutospacing="1"/>
              <w:jc w:val="both"/>
            </w:pPr>
          </w:p>
          <w:p w:rsidR="007912C2" w:rsidRDefault="007912C2" w:rsidP="007912C2">
            <w:pPr>
              <w:spacing w:before="100" w:beforeAutospacing="1" w:line="276" w:lineRule="auto"/>
              <w:jc w:val="both"/>
            </w:pPr>
            <w:r>
              <w:t>Qualora la comunicazione del periodo sia relativo al pregresso, il sistema deve calcolare eventuali arretrati a debito/credito scaturiti dalla differente assegnazione delle indennità di impiego operativo spettanti; gli arretrati, in coerenza con quanto stabilito in configurazione, devono oppure no essere validati dall’operatore di amministrazione dell’ente d’impiego che ha in carico l’amministrato per il periodo.</w:t>
            </w:r>
          </w:p>
          <w:p w:rsidR="007912C2" w:rsidRDefault="007912C2" w:rsidP="007912C2"/>
          <w:permEnd w:id="1369207210"/>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750722477" w:edGrp="everyone"/>
      <w:permEnd w:id="750722477"/>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31" w:name="w2t4351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176121148" w:edGrp="everyone"/>
            <w:r>
              <w:rPr>
                <w:rFonts w:ascii="Calibri" w:hAnsi="Calibri" w:cs="Calibri"/>
                <w:szCs w:val="26"/>
              </w:rPr>
              <w:t>_</w:t>
            </w:r>
            <w:permEnd w:id="117612114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2" w:history="1">
              <w:r w:rsidRPr="007912C2">
                <w:rPr>
                  <w:rStyle w:val="Collegamentoipertestuale"/>
                  <w:rFonts w:ascii="Calibri" w:hAnsi="Calibri" w:cs="Calibri"/>
                  <w:szCs w:val="20"/>
                </w:rPr>
                <w:t>43513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3" w:history="1">
              <w:r w:rsidRPr="007912C2">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31"/>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43513 - Comunicazione dei periodi di indennità d'impiego operativo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10:34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43355228" w:edGrp="everyone" w:displacedByCustomXml="next"/>
        <w:sdt>
          <w:sdtPr>
            <w:rPr>
              <w:rFonts w:ascii="Calibri" w:hAnsi="Calibri" w:cs="Calibri"/>
              <w:color w:val="000000" w:themeColor="text1"/>
              <w:szCs w:val="20"/>
            </w:rPr>
            <w:id w:val="-1026863014"/>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24335522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242702381" w:edGrp="everyone"/>
            <w:r>
              <w:rPr>
                <w:rFonts w:ascii="Calibri" w:hAnsi="Calibri" w:cs="Calibri"/>
                <w:b/>
                <w:sz w:val="26"/>
                <w:szCs w:val="26"/>
              </w:rPr>
              <w:t>Comunicazione dei periodi di indennità d'impiego operativo</w:t>
            </w:r>
            <w:permEnd w:id="242702381"/>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line="276" w:lineRule="auto"/>
              <w:jc w:val="both"/>
            </w:pPr>
            <w:permStart w:id="1858408714" w:edGrp="everyone"/>
            <w:r>
              <w:t>L’operatore di amministrazione deve poter gestire l’attribuzione dei periodi di servizio che danno luogo all’attribuzione delle sole indennità operative di impiego cosiddette “derivate”, diverse cioè dall’indennità operativa di base (che viene configurata e attribuita automaticamente dal sistema all’amministrato al verificarsi di particolari condizioni).</w:t>
            </w:r>
          </w:p>
          <w:p w:rsidR="007912C2" w:rsidRDefault="007912C2" w:rsidP="007912C2">
            <w:pPr>
              <w:spacing w:before="100" w:beforeAutospacing="1" w:line="276" w:lineRule="auto"/>
              <w:jc w:val="both"/>
            </w:pPr>
            <w:r>
              <w:t>Il sistema deve mostrare un avviso all’operatore di amministrazione qualora, a seguito della sua comunicazione, il sistema modifica l’insieme delle indennità di impiego operativo spettanti e per l’amministrato non risultano indennità d’impiego operativo in godimento.</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 xml:space="preserve">Il sistema deve poter operare, a seguito di conferma da parte dell’operatore, la chiusura  del periodo di servizio che dà luogo alle indennità operative di impiego incompatibili attualmente percepite in luogo della comunicazione del servizio </w:t>
            </w:r>
            <w:r>
              <w:lastRenderedPageBreak/>
              <w:t>che dà luogo all’apertura della nuova indennità d’impiego operativo comunicata; deve sempre essere possibile permettere all’operatore di amministrazione la chiusura di un periodo di servizio attualmente aperto in luogo dell’apertura di un nuovo periodo di servizio.</w:t>
            </w:r>
          </w:p>
          <w:p w:rsidR="007912C2" w:rsidRDefault="007912C2" w:rsidP="007912C2">
            <w:pPr>
              <w:spacing w:before="100" w:beforeAutospacing="1" w:line="276" w:lineRule="auto"/>
              <w:jc w:val="both"/>
            </w:pPr>
            <w:r>
              <w:t> </w:t>
            </w:r>
          </w:p>
          <w:p w:rsidR="007912C2" w:rsidRDefault="007912C2" w:rsidP="007912C2">
            <w:pPr>
              <w:spacing w:before="100" w:beforeAutospacing="1" w:after="100" w:afterAutospacing="1"/>
              <w:jc w:val="both"/>
            </w:pPr>
            <w:r>
              <w:t xml:space="preserve">Per quanto riguarda la segnalazione dei periodi di servizio il sistema deve agevolare tale attività mostrando dapprima le tipologie di servizio più utilizzate dalla Forza Armata presso la quale l’amministrato presta servizio o appartiene; </w:t>
            </w:r>
          </w:p>
          <w:p w:rsidR="007912C2" w:rsidRDefault="007912C2" w:rsidP="007912C2">
            <w:pPr>
              <w:spacing w:before="100" w:beforeAutospacing="1" w:after="100" w:afterAutospacing="1"/>
              <w:jc w:val="both"/>
            </w:pPr>
            <w:r>
              <w:t>Nel dettaglio, l’operatore di amministrazione deve poter segnalare sul sistema:</w:t>
            </w:r>
          </w:p>
          <w:p w:rsidR="007912C2" w:rsidRDefault="007912C2" w:rsidP="007912C2">
            <w:pPr>
              <w:numPr>
                <w:ilvl w:val="0"/>
                <w:numId w:val="15"/>
              </w:numPr>
              <w:spacing w:before="100" w:beforeAutospacing="1" w:after="100" w:afterAutospacing="1"/>
            </w:pPr>
            <w:r>
              <w:rPr>
                <w:rFonts w:ascii="Courier New" w:hAnsi="Courier New" w:cs="Courier New"/>
              </w:rPr>
              <w:t>o</w:t>
            </w:r>
            <w:r>
              <w:rPr>
                <w:sz w:val="14"/>
                <w:szCs w:val="14"/>
              </w:rPr>
              <w:t xml:space="preserve">   </w:t>
            </w:r>
            <w:r>
              <w:t>la tipologia di servizio d’impiego operativo prestato, tenendo conto delle seguenti peculiarità:</w:t>
            </w:r>
          </w:p>
          <w:p w:rsidR="007912C2" w:rsidRDefault="007912C2" w:rsidP="007912C2">
            <w:pPr>
              <w:pStyle w:val="Paragrafoelenco"/>
              <w:spacing w:before="0" w:beforeAutospacing="0" w:after="0" w:afterAutospacing="0" w:line="276" w:lineRule="auto"/>
              <w:ind w:left="1428" w:hanging="360"/>
              <w:jc w:val="both"/>
            </w:pPr>
            <w:r>
              <w:rPr>
                <w:rFonts w:ascii="Symbol" w:hAnsi="Symbol"/>
              </w:rPr>
              <w:t></w:t>
            </w:r>
            <w:r>
              <w:rPr>
                <w:sz w:val="14"/>
                <w:szCs w:val="14"/>
              </w:rPr>
              <w:t xml:space="preserve">         </w:t>
            </w:r>
            <w:r>
              <w:t>nel caso di segnalazione del servizio di “marcia”, è necessario prevedere che vengano inoltre segnalate le differenti tipologie di marcia possibili (“in sede” o “fuori sede”), che danno luogo al riconoscimento di importi di indennità differenti in quanto fanno riferimento a quote di esenzione differenti della base imponibile;</w:t>
            </w:r>
          </w:p>
          <w:p w:rsidR="007912C2" w:rsidRDefault="007912C2" w:rsidP="007912C2">
            <w:pPr>
              <w:pStyle w:val="Paragrafoelenco"/>
              <w:spacing w:before="0" w:beforeAutospacing="0" w:after="0" w:afterAutospacing="0" w:line="276" w:lineRule="auto"/>
              <w:ind w:left="2148" w:hanging="360"/>
              <w:jc w:val="both"/>
            </w:pPr>
            <w:r>
              <w:rPr>
                <w:rFonts w:ascii="Wingdings" w:hAnsi="Wingdings"/>
              </w:rPr>
              <w:t></w:t>
            </w:r>
            <w:r>
              <w:rPr>
                <w:sz w:val="14"/>
                <w:szCs w:val="14"/>
              </w:rPr>
              <w:t xml:space="preserve">  </w:t>
            </w:r>
            <w:r>
              <w:t>nel caso di segnalazione del servizio di “imbarco”, è necessario prevedere che vengano contestualmente segnalati il grado e/o il ruolo per i quali l’amministrato è chiamato al servizio di imbarco; di default tali parametri devono essere impostati automaticamente dal sistema al grado e/o ruolo dell’amministrato, l’operatore deve essere in grado di modificare i valori scegliendo tra i gradi e/o ruoli possibili per la forza Armata presso cui si svolge servizio (la possibilità di comunicare un grado e/o un ruolo differente rispetto a quello presente in anagrafica assume notevole importanza per l’arma “Marina Militare”, negli altri casi è comunque possibile ma è raro che sia modificata l’impostazione di default).</w:t>
            </w:r>
          </w:p>
          <w:p w:rsidR="007912C2" w:rsidRDefault="007912C2" w:rsidP="007912C2">
            <w:pPr>
              <w:pStyle w:val="Paragrafoelenco"/>
              <w:spacing w:before="0" w:beforeAutospacing="0" w:after="0" w:afterAutospacing="0" w:line="276" w:lineRule="auto"/>
              <w:ind w:left="1428" w:hanging="360"/>
              <w:jc w:val="both"/>
            </w:pPr>
            <w:r>
              <w:rPr>
                <w:rFonts w:ascii="Symbol" w:hAnsi="Symbol"/>
              </w:rPr>
              <w:t></w:t>
            </w:r>
            <w:r>
              <w:rPr>
                <w:sz w:val="14"/>
                <w:szCs w:val="14"/>
              </w:rPr>
              <w:t xml:space="preserve">         </w:t>
            </w:r>
            <w:r>
              <w:t xml:space="preserve">nel caso di segnalazione del servizio di “aeronavigazione”, al fine di attribuire la corrispondente indennità è necessario che il sistema operi la distinzione in base alla forza armata di appartenenza dell’amministrato. E’ necessario inoltre prevedere che vengano segnalate tutte le differenti tipologie di aeronavigazione possibili che variano in base alla forza armata di appartenenza (es. aviogetti, plurimotore per la forza armata aeronautica, paracadutista “Fuori Corpo”, pilota, osservatore per le altre forze armate); Per quanto riguarda la relativa indennità di aeronavigazione, esistono 5 tipi di indennità con le rispettive percentuali (aeronavigazione per Aviogetti = 250%, aeronavigazione per velivoli ad elica ….. = 190%; aeronavigazione per altri velivoli ed elicotteri = 160%; aeronavigazione per paracadutisti = 190%; aeronavigazione per Ufficiali osservatori = 130%); il sistema deve prospettare all’utente tutte le tipologie di servizio ordinandole in maniera più agevole in base all’arma di appartenenza o di servizio dell’amministrato, differenziando i comportamenti come di seguito specificato: </w:t>
            </w:r>
          </w:p>
          <w:p w:rsidR="007912C2" w:rsidRDefault="007912C2" w:rsidP="007912C2">
            <w:pPr>
              <w:pStyle w:val="Paragrafoelenco"/>
              <w:spacing w:before="0" w:beforeAutospacing="0" w:after="0" w:afterAutospacing="0" w:line="276" w:lineRule="auto"/>
              <w:ind w:left="2148" w:hanging="360"/>
              <w:jc w:val="both"/>
            </w:pPr>
            <w:r>
              <w:rPr>
                <w:rFonts w:ascii="Wingdings" w:hAnsi="Wingdings"/>
              </w:rPr>
              <w:t></w:t>
            </w:r>
            <w:r>
              <w:rPr>
                <w:sz w:val="14"/>
                <w:szCs w:val="14"/>
              </w:rPr>
              <w:t xml:space="preserve">  </w:t>
            </w:r>
            <w:r>
              <w:t>se l’amministrato è appartenente alla Forza Armata Aeronautica e possiede uno specifico ruolo “navigante”, dopo aver segnalato per la tipologia di aeronavigazione specifica il sistema deve attribuire l’indennità di aeronavigazione in base al servizio di aeronavigazione segnalato e al ruolo posseduto;</w:t>
            </w:r>
          </w:p>
          <w:p w:rsidR="007912C2" w:rsidRDefault="007912C2" w:rsidP="007912C2">
            <w:pPr>
              <w:pStyle w:val="Paragrafoelenco"/>
              <w:spacing w:before="0" w:beforeAutospacing="0" w:after="0" w:afterAutospacing="0" w:line="276" w:lineRule="auto"/>
              <w:ind w:left="2148" w:hanging="360"/>
              <w:jc w:val="both"/>
            </w:pPr>
            <w:r>
              <w:rPr>
                <w:rFonts w:ascii="Wingdings" w:hAnsi="Wingdings"/>
              </w:rPr>
              <w:lastRenderedPageBreak/>
              <w:t></w:t>
            </w:r>
            <w:r>
              <w:rPr>
                <w:sz w:val="14"/>
                <w:szCs w:val="14"/>
              </w:rPr>
              <w:t xml:space="preserve">    </w:t>
            </w:r>
            <w:r>
              <w:t>se l’amministrato è invece appartenente alla Forze Armate Esercito o Marina Militare anche se possiede una specialità, il sistema deve attribuire l’indennità di aeronavigazione specifica segnalata anche se diversa dalla propria specialità. Infatti anche se l’attribuzione della tipologia di aeronavigazione specifica è deducibile dalla specialità, per gli amministrati delle predette Forze Armate (tutte tranne aereonautica militare) è possibile segnalare un servizio differente rispetto alla propria specialità (che dà luogo dunque all’indennità corrispondente al servizio specifico e non alla specialità posseduta)</w:t>
            </w:r>
          </w:p>
          <w:p w:rsidR="007912C2" w:rsidRDefault="007912C2" w:rsidP="007912C2">
            <w:pPr>
              <w:spacing w:line="276" w:lineRule="auto"/>
              <w:ind w:left="1418"/>
              <w:jc w:val="both"/>
            </w:pPr>
            <w:r>
              <w:t xml:space="preserve">Ricapitolando, il binomio </w:t>
            </w:r>
            <w:r>
              <w:rPr>
                <w:u w:val="single"/>
              </w:rPr>
              <w:t>Forza Armata = Aeronautica</w:t>
            </w:r>
            <w:r>
              <w:t xml:space="preserve"> e </w:t>
            </w:r>
            <w:r>
              <w:rPr>
                <w:u w:val="single"/>
              </w:rPr>
              <w:t>Ruolo = navigante</w:t>
            </w:r>
            <w:r>
              <w:t xml:space="preserve"> determina l’attribuzione dell’indennità di aeronavigazione a prescindere dal possesso di ogni altro requisito giuridico e di impiego (il possesso del brevetto di pilota è insito nell’appartenenza al Ruolo navigante). Questa, però, è una prerogativa del solo personale pilota dell’aeronautica perché per il personale pilota dell’Esercito e della Marina è importante svolgere anche il servizio presso Reparti di volo (quindi è necessario il possesso dei requisiti d’impiego e del brevetto).</w:t>
            </w:r>
          </w:p>
          <w:p w:rsidR="007912C2" w:rsidRDefault="007912C2" w:rsidP="007912C2">
            <w:pPr>
              <w:numPr>
                <w:ilvl w:val="0"/>
                <w:numId w:val="16"/>
              </w:numPr>
              <w:spacing w:before="100" w:beforeAutospacing="1" w:after="100" w:afterAutospacing="1"/>
            </w:pPr>
            <w:r>
              <w:rPr>
                <w:rFonts w:ascii="Courier New" w:hAnsi="Courier New" w:cs="Courier New"/>
              </w:rPr>
              <w:t>o</w:t>
            </w:r>
            <w:r>
              <w:rPr>
                <w:sz w:val="14"/>
                <w:szCs w:val="14"/>
              </w:rPr>
              <w:t xml:space="preserve">   </w:t>
            </w:r>
            <w:r>
              <w:t>le differenti tipologie di maggiorazioni previste per il servizio, se presenti per la tipologia di servizio segnalato e nelle modalità configurate dall’amministratore di sistema; una volta segnalata e applicata la maggiorazione al servizio configurato come "maggiorabile”, nel caso in cui venga successivamente comunicato un ulteriore periodo di servizio legato alla stessa maggiorazione già segnalata e applicata, il sistema deve automaticamente estendere la maggiorazione anche l’ulteriore periodo segnalato.</w:t>
            </w:r>
          </w:p>
          <w:p w:rsidR="007912C2" w:rsidRDefault="007912C2" w:rsidP="007912C2">
            <w:pPr>
              <w:numPr>
                <w:ilvl w:val="0"/>
                <w:numId w:val="17"/>
              </w:numPr>
              <w:spacing w:before="100" w:beforeAutospacing="1" w:after="100" w:afterAutospacing="1"/>
            </w:pPr>
            <w:r>
              <w:rPr>
                <w:rFonts w:ascii="Courier New" w:hAnsi="Courier New" w:cs="Courier New"/>
              </w:rPr>
              <w:t>o</w:t>
            </w:r>
            <w:r>
              <w:rPr>
                <w:sz w:val="14"/>
                <w:szCs w:val="14"/>
              </w:rPr>
              <w:t xml:space="preserve">   </w:t>
            </w:r>
            <w:r>
              <w:t>data di inizio e di fine servizio, come riferimento temporale dell’attività svolta;</w:t>
            </w:r>
          </w:p>
          <w:p w:rsidR="007912C2" w:rsidRDefault="007912C2" w:rsidP="007912C2">
            <w:pPr>
              <w:numPr>
                <w:ilvl w:val="0"/>
                <w:numId w:val="18"/>
              </w:numPr>
              <w:spacing w:before="100" w:beforeAutospacing="1" w:after="100" w:afterAutospacing="1"/>
            </w:pPr>
            <w:r>
              <w:rPr>
                <w:rFonts w:ascii="Courier New" w:hAnsi="Courier New" w:cs="Courier New"/>
              </w:rPr>
              <w:t>o</w:t>
            </w:r>
            <w:r>
              <w:rPr>
                <w:sz w:val="14"/>
                <w:szCs w:val="14"/>
              </w:rPr>
              <w:t xml:space="preserve">   </w:t>
            </w:r>
            <w:r>
              <w:t>numero di giorni, automaticamente calcolato dal sistema in base alle date inizio e fine periodo di servizio e non modificabile; nel caso di servizio per il quale è possibile segnalare le ore (seguente paragrafo), tale campo deve riportare i giorni solo se il servizio prestato prevede anche la modalità “a giorni” altrimenti non deve essere possibile inserire i giorni;</w:t>
            </w:r>
          </w:p>
          <w:p w:rsidR="007912C2" w:rsidRDefault="007912C2" w:rsidP="007912C2">
            <w:pPr>
              <w:numPr>
                <w:ilvl w:val="0"/>
                <w:numId w:val="19"/>
              </w:numPr>
              <w:spacing w:before="100" w:beforeAutospacing="1" w:after="100" w:afterAutospacing="1"/>
            </w:pPr>
            <w:r>
              <w:rPr>
                <w:rFonts w:ascii="Courier New" w:hAnsi="Courier New" w:cs="Courier New"/>
              </w:rPr>
              <w:t>o</w:t>
            </w:r>
            <w:r>
              <w:rPr>
                <w:sz w:val="14"/>
                <w:szCs w:val="14"/>
              </w:rPr>
              <w:t xml:space="preserve">   </w:t>
            </w:r>
            <w:r>
              <w:t>numero di ore, qualora il particolare tipo di servizio prevede la modalità di segnalazione “a ore”;</w:t>
            </w:r>
          </w:p>
          <w:p w:rsidR="007912C2" w:rsidRDefault="007912C2" w:rsidP="007912C2">
            <w:pPr>
              <w:numPr>
                <w:ilvl w:val="0"/>
                <w:numId w:val="20"/>
              </w:numPr>
              <w:spacing w:before="100" w:beforeAutospacing="1" w:after="100" w:afterAutospacing="1"/>
            </w:pPr>
            <w:r>
              <w:rPr>
                <w:rFonts w:ascii="Courier New" w:hAnsi="Courier New" w:cs="Courier New"/>
              </w:rPr>
              <w:t>o</w:t>
            </w:r>
            <w:r>
              <w:rPr>
                <w:sz w:val="14"/>
                <w:szCs w:val="14"/>
              </w:rPr>
              <w:t xml:space="preserve">   </w:t>
            </w:r>
            <w:r>
              <w:t>note, utile per specificare eventuali commenti relativi al servizio che sti sta segnalando.</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Qualora la comunicazione del periodo di servizio sia relativo al pregresso, il sistema deve calcolare eventuali arretrati a debito/credito scaturiti dalla differente assegnazione delle indennità di impiego operativo spettanti in base anche ai confronti di convenienza tra le indennità spettanti; gli arretrati calcolati, in coerenza con quanto stabilito in configurazione, devono oppure no essere validati dall’operatore di amministrazione dell’ente d’impiego che ha in carico l’amministrato per il periodo.</w:t>
            </w:r>
          </w:p>
          <w:permEnd w:id="1858408714"/>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1002650512" w:edGrp="everyone"/>
      <w:permEnd w:id="1002650512"/>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32" w:name="w2t4351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628191477" w:edGrp="everyone"/>
            <w:r>
              <w:rPr>
                <w:rFonts w:ascii="Calibri" w:hAnsi="Calibri" w:cs="Calibri"/>
                <w:szCs w:val="26"/>
              </w:rPr>
              <w:t>_</w:t>
            </w:r>
            <w:permEnd w:id="62819147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4" w:history="1">
              <w:r w:rsidRPr="007912C2">
                <w:rPr>
                  <w:rStyle w:val="Collegamentoipertestuale"/>
                  <w:rFonts w:ascii="Calibri" w:hAnsi="Calibri" w:cs="Calibri"/>
                  <w:szCs w:val="20"/>
                </w:rPr>
                <w:t>43515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5" w:history="1">
              <w:r w:rsidRPr="007912C2">
                <w:rPr>
                  <w:rStyle w:val="Collegamentoipertestuale"/>
                  <w:rFonts w:ascii="Calibri" w:hAnsi="Calibri" w:cs="Calibri"/>
                  <w:szCs w:val="20"/>
                </w:rPr>
                <w:t>33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32"/>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43515 - Configurazione delle regole di determinazione delle indennità d'impiego operativo e del trascinamento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01/08/2019 9:41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18941771" w:edGrp="everyone" w:displacedByCustomXml="next"/>
        <w:sdt>
          <w:sdtPr>
            <w:rPr>
              <w:rFonts w:ascii="Calibri" w:hAnsi="Calibri" w:cs="Calibri"/>
              <w:color w:val="000000" w:themeColor="text1"/>
              <w:szCs w:val="20"/>
            </w:rPr>
            <w:id w:val="-211121947"/>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61894177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314340723" w:edGrp="everyone"/>
            <w:r>
              <w:rPr>
                <w:rFonts w:ascii="Calibri" w:hAnsi="Calibri" w:cs="Calibri"/>
                <w:b/>
                <w:sz w:val="26"/>
                <w:szCs w:val="26"/>
              </w:rPr>
              <w:t>Configurazione delle regole di determinazione delle indennità d'impiego operativo e del trascinamento</w:t>
            </w:r>
            <w:permEnd w:id="1314340723"/>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spacing w:before="100" w:beforeAutospacing="1" w:line="276" w:lineRule="auto"/>
              <w:jc w:val="both"/>
            </w:pPr>
            <w:permStart w:id="1118380392" w:edGrp="everyone"/>
            <w:r>
              <w:t xml:space="preserve">L’amministratore di sistema deve essere in grado di gestire delle strutture dati riguardanti le </w:t>
            </w:r>
            <w:r>
              <w:rPr>
                <w:b/>
                <w:bCs/>
              </w:rPr>
              <w:t>indennità operative di base</w:t>
            </w:r>
            <w:r>
              <w:t xml:space="preserve"> così come previste dalla normativa vigente, che costituiscono uno dei parametri di riferimento per il calcolo della maggior parte delle altre indennità operative di impiego. I valori delle indennità possono essere oggetto di aggiornamento da parte di adeguamenti contrattuali. </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 xml:space="preserve">Il sistema deve consentire la configurazione dell’attribuzione delle indennità operative di base a specifici insiemi di amministrati, permettendo di configurare l’insieme target di amministrati per i quali la regola di attribuzione ha effetto (ad es. regola generica per tutti, regola che vale per la forza, regola che vale per uno o più attributi presenti nella sezione anagrafica dell’amministrato quali ad esempio le categorie, i ruoli, i gradi, la tipologia di ferma breve, es. regola che vale in base alla fascia di anzianità di servizio utile ecc. …). Ad esempio, il sistema deve poter consentire di configurare l’attribuzione di una determinata indennità operativa di base individuando l’insieme degli amministrati in base alle fasce di grado e le fasce di anni di anzianità di servizio (sia comunque prestato che dalla nomina a ufficiale o aspirante), oppure non verticalizzando su tali parametri ma permettendo l’attribuzione di un valore fisso mensile o un valore percentuale su un importo base a una specifica categoria di amministrati, individuabile attraverso i vari attributi di classificazione (es. forza armata, categoria, sottocategoria, ruolo, specialità, grado, ecc.… ). </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 xml:space="preserve">L’amministratore di sistema deve essere in grado di configurare le regole di determinazione economica delle </w:t>
            </w:r>
            <w:r>
              <w:rPr>
                <w:b/>
                <w:bCs/>
              </w:rPr>
              <w:t>indennità d’impiego operativo cosiddette “</w:t>
            </w:r>
            <w:r>
              <w:rPr>
                <w:b/>
                <w:bCs/>
                <w:i/>
                <w:iCs/>
              </w:rPr>
              <w:t>derivate”</w:t>
            </w:r>
            <w:r>
              <w:t>, il cui valore è appunto derivato da un valore di riferimento (es. indennità operativa di base o importo fisso) potendo scegliere la modalità di derivazione tra:</w:t>
            </w:r>
          </w:p>
          <w:p w:rsidR="007912C2" w:rsidRDefault="007912C2" w:rsidP="007912C2">
            <w:pPr>
              <w:pStyle w:val="Paragrafoelenco"/>
              <w:spacing w:before="0" w:beforeAutospacing="0" w:after="0" w:afterAutospacing="0" w:line="276" w:lineRule="auto"/>
              <w:ind w:left="851" w:hanging="425"/>
              <w:jc w:val="both"/>
            </w:pPr>
            <w:r>
              <w:rPr>
                <w:rFonts w:ascii="Symbol" w:hAnsi="Symbol"/>
              </w:rPr>
              <w:lastRenderedPageBreak/>
              <w:t></w:t>
            </w:r>
            <w:r>
              <w:rPr>
                <w:sz w:val="14"/>
                <w:szCs w:val="14"/>
              </w:rPr>
              <w:t xml:space="preserve">           </w:t>
            </w:r>
            <w:r>
              <w:t xml:space="preserve">un valore percentuale da applicare sull’indennità operativa di base di riferimento, </w:t>
            </w:r>
          </w:p>
          <w:p w:rsidR="007912C2" w:rsidRDefault="007912C2" w:rsidP="007912C2">
            <w:pPr>
              <w:pStyle w:val="Paragrafoelenco"/>
              <w:spacing w:before="0" w:beforeAutospacing="0" w:after="0" w:afterAutospacing="0" w:line="276" w:lineRule="auto"/>
              <w:ind w:left="851" w:hanging="425"/>
              <w:jc w:val="both"/>
            </w:pPr>
            <w:r>
              <w:rPr>
                <w:rFonts w:ascii="Symbol" w:hAnsi="Symbol"/>
              </w:rPr>
              <w:t></w:t>
            </w:r>
            <w:r>
              <w:rPr>
                <w:sz w:val="14"/>
                <w:szCs w:val="14"/>
              </w:rPr>
              <w:t xml:space="preserve">           </w:t>
            </w:r>
            <w:r>
              <w:t>un valore fisso mensile da attribuire come valore economico dell’indennità;</w:t>
            </w:r>
          </w:p>
          <w:p w:rsidR="007912C2" w:rsidRDefault="007912C2" w:rsidP="007912C2">
            <w:pPr>
              <w:pStyle w:val="Paragrafoelenco"/>
              <w:spacing w:before="0" w:beforeAutospacing="0" w:after="0" w:afterAutospacing="0" w:line="276" w:lineRule="auto"/>
              <w:ind w:left="851" w:hanging="425"/>
              <w:jc w:val="both"/>
            </w:pPr>
            <w:r>
              <w:rPr>
                <w:rFonts w:ascii="Symbol" w:hAnsi="Symbol"/>
              </w:rPr>
              <w:t></w:t>
            </w:r>
            <w:r>
              <w:rPr>
                <w:sz w:val="14"/>
                <w:szCs w:val="14"/>
              </w:rPr>
              <w:t xml:space="preserve">           </w:t>
            </w:r>
            <w:r>
              <w:t>un valore percentuale da applicare su un importo base configurato a sistema.</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Così come per l’attribuzione delle indennità operative di base, per ogni regola di derivazione delle indennità di impiego operativo calcolata, l’amministratore di sistema deve poter configurare l’insieme target di amministrati per i quali la regola ha effetto (ad es. regola generica per tutti, regola che vale per la forza, regola che vale per uno o più attributi presenti nella sezione anagrafica dell’amministrato quali ad esempio le categorie, i ruoli, i gradi, la tipologia di ferma breve, es. regola che vale in base alla fascia di anzianità di servizio utile ecc.…). È necessario inoltre, che il sistema possa escludere un insieme di amministrati dalla percezione dell’indennità operativa derivata, sia essa fondamentale che supplementare.</w:t>
            </w:r>
          </w:p>
          <w:p w:rsidR="007912C2" w:rsidRDefault="007912C2" w:rsidP="007912C2">
            <w:pPr>
              <w:pStyle w:val="Paragrafoelenco"/>
              <w:spacing w:before="0" w:beforeAutospacing="0" w:after="0" w:afterAutospacing="0" w:line="276" w:lineRule="auto"/>
              <w:ind w:left="851"/>
              <w:jc w:val="both"/>
            </w:pPr>
            <w:r>
              <w:t> </w:t>
            </w:r>
          </w:p>
          <w:p w:rsidR="007912C2" w:rsidRDefault="007912C2" w:rsidP="007912C2">
            <w:pPr>
              <w:spacing w:before="100" w:beforeAutospacing="1" w:line="276" w:lineRule="auto"/>
              <w:jc w:val="both"/>
            </w:pPr>
            <w:r>
              <w:t>L’amministratore di sistema deve essere in grado di configurare le regole generali di attribuzione delle indennità di impiego operativo derivate (non di base) a partire dai presupposti giuridici presenti sul sistema, in modo da provvedere all’attribuzione automatica delle stesse.</w:t>
            </w:r>
          </w:p>
          <w:p w:rsidR="007912C2" w:rsidRDefault="007912C2" w:rsidP="007912C2">
            <w:pPr>
              <w:spacing w:before="100" w:beforeAutospacing="1" w:line="276" w:lineRule="auto"/>
              <w:jc w:val="both"/>
            </w:pPr>
            <w:r>
              <w:t>In particolare deve essere possibile:</w:t>
            </w:r>
          </w:p>
          <w:p w:rsidR="007912C2" w:rsidRDefault="007912C2" w:rsidP="007912C2">
            <w:pPr>
              <w:pStyle w:val="Paragrafoelenco"/>
              <w:spacing w:before="0" w:beforeAutospacing="0" w:after="0" w:afterAutospacing="0" w:line="276" w:lineRule="auto"/>
              <w:ind w:left="1134" w:hanging="283"/>
              <w:jc w:val="both"/>
            </w:pPr>
            <w:r>
              <w:rPr>
                <w:rFonts w:ascii="Courier New" w:hAnsi="Courier New" w:cs="Courier New"/>
              </w:rPr>
              <w:t>o</w:t>
            </w:r>
            <w:r>
              <w:rPr>
                <w:sz w:val="14"/>
                <w:szCs w:val="14"/>
              </w:rPr>
              <w:t xml:space="preserve">  </w:t>
            </w:r>
            <w:r>
              <w:t xml:space="preserve">Configurare il legame tra l’indennità (o le indennità) e alcune informazioni presenti a sistema per </w:t>
            </w:r>
            <w:r>
              <w:rPr>
                <w:b/>
                <w:bCs/>
              </w:rPr>
              <w:t>l’amministrato</w:t>
            </w:r>
            <w:r>
              <w:t xml:space="preserve"> quali:</w:t>
            </w:r>
          </w:p>
          <w:p w:rsidR="007912C2" w:rsidRDefault="007912C2" w:rsidP="007912C2">
            <w:pPr>
              <w:pStyle w:val="Paragrafoelenco"/>
              <w:spacing w:before="0" w:beforeAutospacing="0" w:after="0" w:afterAutospacing="0" w:line="276" w:lineRule="auto"/>
              <w:ind w:left="2206" w:hanging="360"/>
              <w:jc w:val="both"/>
            </w:pPr>
            <w:r>
              <w:rPr>
                <w:rFonts w:ascii="Wingdings" w:hAnsi="Wingdings"/>
              </w:rPr>
              <w:t></w:t>
            </w:r>
            <w:r>
              <w:rPr>
                <w:sz w:val="14"/>
                <w:szCs w:val="14"/>
              </w:rPr>
              <w:t xml:space="preserve">  </w:t>
            </w:r>
            <w:r>
              <w:t xml:space="preserve">l’appartenenza (o il servizio) a una specifica </w:t>
            </w:r>
            <w:r>
              <w:rPr>
                <w:b/>
                <w:bCs/>
              </w:rPr>
              <w:t>arma</w:t>
            </w:r>
            <w:r>
              <w:t xml:space="preserve"> (indennità di aeronavigazione per il personale dell’aeronautica)</w:t>
            </w:r>
          </w:p>
          <w:p w:rsidR="007912C2" w:rsidRDefault="007912C2" w:rsidP="007912C2">
            <w:pPr>
              <w:pStyle w:val="Paragrafoelenco"/>
              <w:spacing w:before="0" w:beforeAutospacing="0" w:after="0" w:afterAutospacing="0" w:line="276" w:lineRule="auto"/>
              <w:ind w:left="2206" w:hanging="360"/>
              <w:jc w:val="both"/>
            </w:pPr>
            <w:r>
              <w:rPr>
                <w:rFonts w:ascii="Wingdings" w:hAnsi="Wingdings"/>
              </w:rPr>
              <w:t></w:t>
            </w:r>
            <w:r>
              <w:rPr>
                <w:sz w:val="14"/>
                <w:szCs w:val="14"/>
              </w:rPr>
              <w:t xml:space="preserve">  </w:t>
            </w:r>
            <w:r>
              <w:t xml:space="preserve">il possesso di uno specifico </w:t>
            </w:r>
            <w:r>
              <w:rPr>
                <w:b/>
                <w:bCs/>
              </w:rPr>
              <w:t>ruolo</w:t>
            </w:r>
            <w:r>
              <w:t xml:space="preserve"> (es.: indennità di aeronavigazione per il personale del ruolo naviganti dell’Aeronautica oppure per il personale paracadutista/EI/MM)</w:t>
            </w:r>
          </w:p>
          <w:p w:rsidR="007912C2" w:rsidRDefault="007912C2" w:rsidP="007912C2">
            <w:pPr>
              <w:pStyle w:val="Paragrafoelenco"/>
              <w:spacing w:before="0" w:beforeAutospacing="0" w:after="0" w:afterAutospacing="0" w:line="276" w:lineRule="auto"/>
              <w:ind w:left="2206" w:hanging="360"/>
              <w:jc w:val="both"/>
            </w:pPr>
            <w:r>
              <w:rPr>
                <w:rFonts w:ascii="Wingdings" w:hAnsi="Wingdings"/>
              </w:rPr>
              <w:t></w:t>
            </w:r>
            <w:r>
              <w:rPr>
                <w:sz w:val="14"/>
                <w:szCs w:val="14"/>
              </w:rPr>
              <w:t xml:space="preserve">  </w:t>
            </w:r>
            <w:r>
              <w:t xml:space="preserve">il possesso di </w:t>
            </w:r>
            <w:r>
              <w:rPr>
                <w:b/>
                <w:bCs/>
              </w:rPr>
              <w:t>brevetti</w:t>
            </w:r>
            <w:r>
              <w:t xml:space="preserve"> e/o </w:t>
            </w:r>
            <w:r>
              <w:rPr>
                <w:b/>
                <w:bCs/>
              </w:rPr>
              <w:t>abilitazioni</w:t>
            </w:r>
            <w:r>
              <w:t xml:space="preserve"> e/o </w:t>
            </w:r>
            <w:r>
              <w:rPr>
                <w:b/>
                <w:bCs/>
              </w:rPr>
              <w:t>specialità</w:t>
            </w:r>
            <w:r>
              <w:t xml:space="preserve"> (ad esempio, l’indennità di incursore possibile solo se si possiede il corrispondente brevetto); </w:t>
            </w:r>
          </w:p>
          <w:p w:rsidR="007912C2" w:rsidRDefault="007912C2" w:rsidP="007912C2">
            <w:pPr>
              <w:pStyle w:val="Paragrafoelenco"/>
              <w:spacing w:before="0" w:beforeAutospacing="0" w:after="0" w:afterAutospacing="0" w:line="276" w:lineRule="auto"/>
              <w:ind w:left="2206" w:hanging="360"/>
              <w:jc w:val="both"/>
            </w:pPr>
            <w:r>
              <w:rPr>
                <w:rFonts w:ascii="Wingdings" w:hAnsi="Wingdings"/>
              </w:rPr>
              <w:t></w:t>
            </w:r>
            <w:r>
              <w:rPr>
                <w:sz w:val="14"/>
                <w:szCs w:val="14"/>
              </w:rPr>
              <w:t xml:space="preserve">  </w:t>
            </w:r>
            <w:r>
              <w:t xml:space="preserve">la presenza di determinati </w:t>
            </w:r>
            <w:r>
              <w:rPr>
                <w:b/>
                <w:bCs/>
              </w:rPr>
              <w:t>incarichi</w:t>
            </w:r>
            <w:r>
              <w:t>, che determinano il possesso di specifiche indennità (es. incarico di comando navale determina indennità operativa supplementare di “incarico comando navale”)</w:t>
            </w:r>
          </w:p>
          <w:p w:rsidR="007912C2" w:rsidRDefault="007912C2" w:rsidP="007912C2">
            <w:pPr>
              <w:pStyle w:val="Paragrafoelenco"/>
              <w:spacing w:before="0" w:beforeAutospacing="0" w:after="0" w:afterAutospacing="0" w:line="276" w:lineRule="auto"/>
              <w:ind w:left="1134" w:hanging="283"/>
              <w:jc w:val="both"/>
            </w:pPr>
            <w:r>
              <w:rPr>
                <w:rFonts w:ascii="Courier New" w:hAnsi="Courier New" w:cs="Courier New"/>
              </w:rPr>
              <w:t>o</w:t>
            </w:r>
            <w:r>
              <w:rPr>
                <w:sz w:val="14"/>
                <w:szCs w:val="14"/>
              </w:rPr>
              <w:t xml:space="preserve">  </w:t>
            </w:r>
            <w:r>
              <w:t xml:space="preserve">Configurare il legame tra l’indennità (o le indennità) e le caratteristiche dell’ente d’impiego presso cui svolge il servizio, siano esse la </w:t>
            </w:r>
            <w:r>
              <w:rPr>
                <w:b/>
                <w:bCs/>
              </w:rPr>
              <w:t>tipologia</w:t>
            </w:r>
            <w:r>
              <w:t xml:space="preserve"> dell’ente (es. campagna, supercampagna, truppe alpine), che la presenza di </w:t>
            </w:r>
            <w:r>
              <w:rPr>
                <w:b/>
                <w:bCs/>
              </w:rPr>
              <w:t>reparti</w:t>
            </w:r>
            <w:r>
              <w:t xml:space="preserve"> all’interno dell’ente (reparto di volo, reparto controllo spazio marittimo…).</w:t>
            </w:r>
          </w:p>
          <w:p w:rsidR="007912C2" w:rsidRDefault="007912C2" w:rsidP="007912C2">
            <w:pPr>
              <w:pStyle w:val="Paragrafoelenco"/>
              <w:spacing w:before="0" w:beforeAutospacing="0" w:after="0" w:afterAutospacing="0" w:line="276" w:lineRule="auto"/>
              <w:ind w:left="1134" w:hanging="283"/>
              <w:jc w:val="both"/>
            </w:pPr>
            <w:r>
              <w:rPr>
                <w:rFonts w:ascii="Courier New" w:hAnsi="Courier New" w:cs="Courier New"/>
              </w:rPr>
              <w:t>o</w:t>
            </w:r>
            <w:r>
              <w:rPr>
                <w:sz w:val="14"/>
                <w:szCs w:val="14"/>
              </w:rPr>
              <w:t xml:space="preserve">  </w:t>
            </w:r>
            <w:r>
              <w:t xml:space="preserve">Configurazione del legame tra l’indennità (o le indennità) e la presenza di determinate </w:t>
            </w:r>
            <w:r>
              <w:rPr>
                <w:b/>
                <w:bCs/>
              </w:rPr>
              <w:t>tipologie di servizio</w:t>
            </w:r>
            <w:r>
              <w:t>, peculiari della condizione di impiego (es. servizio di marcia con mancato alloggio oppure servizio come operatori di forze speciali)</w:t>
            </w:r>
          </w:p>
          <w:p w:rsidR="007912C2" w:rsidRDefault="007912C2" w:rsidP="007912C2">
            <w:pPr>
              <w:pStyle w:val="Paragrafoelenco"/>
              <w:spacing w:before="0" w:beforeAutospacing="0" w:after="0" w:afterAutospacing="0" w:line="276" w:lineRule="auto"/>
              <w:ind w:left="851" w:hanging="567"/>
              <w:jc w:val="both"/>
            </w:pPr>
            <w:r>
              <w:rPr>
                <w:rFonts w:ascii="Symbol" w:hAnsi="Symbol"/>
              </w:rPr>
              <w:t></w:t>
            </w:r>
            <w:r>
              <w:rPr>
                <w:sz w:val="14"/>
                <w:szCs w:val="14"/>
              </w:rPr>
              <w:t xml:space="preserve">                </w:t>
            </w:r>
            <w:r>
              <w:t xml:space="preserve">Configurazione delle regole generali di non </w:t>
            </w:r>
            <w:r>
              <w:rPr>
                <w:b/>
                <w:bCs/>
              </w:rPr>
              <w:t>cumulabilità</w:t>
            </w:r>
            <w:r>
              <w:t xml:space="preserve"> (o cumulabilità) delle voci di indennità operative di impiego, basata sulla natura (es. fondamentale, supplementare, ecc...) e/o sulla tipologia </w:t>
            </w:r>
            <w:r>
              <w:lastRenderedPageBreak/>
              <w:t>delle indennità di impiego, con la possibilità di configurare delle eccezioni specificando le indennità che possono essere cumulate (o non cumulate) e in che misura l'una rispetto all'altra (ad esempio le indennità di tipo fondamentale non sono cumulabili tra loro ma sono cumulabili con le indennità di tipo supplementare, inoltre esistono alcune eccezioni tra le indennità di tipo fondamentale che sono cumulabili ma in percentuale l’una rispetto alle altre);</w:t>
            </w:r>
          </w:p>
          <w:p w:rsidR="007912C2" w:rsidRDefault="007912C2" w:rsidP="007912C2">
            <w:pPr>
              <w:pStyle w:val="Paragrafoelenco"/>
              <w:spacing w:before="0" w:beforeAutospacing="0" w:after="0" w:afterAutospacing="0" w:line="276" w:lineRule="auto"/>
              <w:ind w:left="766" w:hanging="482"/>
              <w:jc w:val="both"/>
            </w:pPr>
            <w:r>
              <w:rPr>
                <w:rFonts w:ascii="Symbol" w:hAnsi="Symbol"/>
              </w:rPr>
              <w:t></w:t>
            </w:r>
            <w:r>
              <w:rPr>
                <w:sz w:val="14"/>
                <w:szCs w:val="14"/>
              </w:rPr>
              <w:t xml:space="preserve">             </w:t>
            </w:r>
            <w:r>
              <w:t>Configurazione degli eventuali</w:t>
            </w:r>
            <w:r>
              <w:rPr>
                <w:b/>
                <w:bCs/>
              </w:rPr>
              <w:t xml:space="preserve"> limiti di attribuzione</w:t>
            </w:r>
            <w:r>
              <w:t xml:space="preserve"> della singola indennità d’impiego operativo, sia dal punto di vista numerico che quantitativo; il sistema deve consentire di specificare un intervallo di tempo (anni, mesi, giorni) come riferimento temporale </w:t>
            </w:r>
            <w:r>
              <w:rPr>
                <w:b/>
                <w:bCs/>
              </w:rPr>
              <w:t>della regola di cumulo</w:t>
            </w:r>
            <w:r>
              <w:t xml:space="preserve"> (es. percezione indennità di volo massimo 10 ore mensili);</w:t>
            </w:r>
          </w:p>
          <w:p w:rsidR="007912C2" w:rsidRDefault="007912C2" w:rsidP="007912C2">
            <w:pPr>
              <w:pStyle w:val="Paragrafoelenco"/>
              <w:spacing w:before="0" w:beforeAutospacing="0" w:after="0" w:afterAutospacing="0" w:line="276" w:lineRule="auto"/>
              <w:ind w:left="766" w:hanging="482"/>
              <w:jc w:val="both"/>
            </w:pPr>
            <w:r>
              <w:rPr>
                <w:rFonts w:ascii="Symbol" w:hAnsi="Symbol"/>
              </w:rPr>
              <w:t></w:t>
            </w:r>
            <w:r>
              <w:rPr>
                <w:sz w:val="14"/>
                <w:szCs w:val="14"/>
              </w:rPr>
              <w:t xml:space="preserve">             </w:t>
            </w:r>
            <w:r>
              <w:t xml:space="preserve">Configurazione delle regole generali in ordine alla </w:t>
            </w:r>
            <w:r>
              <w:rPr>
                <w:b/>
                <w:bCs/>
              </w:rPr>
              <w:t>riduzione</w:t>
            </w:r>
            <w:r>
              <w:t xml:space="preserve"> o meno delle indennità operative di impiego al verificarsi di particolari eventi giuridici; in particolare deve essere possibile:</w:t>
            </w:r>
          </w:p>
          <w:p w:rsidR="007912C2" w:rsidRDefault="007912C2" w:rsidP="007912C2">
            <w:pPr>
              <w:pStyle w:val="Paragrafoelenco"/>
              <w:spacing w:before="0" w:beforeAutospacing="0" w:after="0" w:afterAutospacing="0" w:line="276" w:lineRule="auto"/>
              <w:ind w:left="1054" w:hanging="360"/>
              <w:jc w:val="both"/>
            </w:pPr>
            <w:r>
              <w:rPr>
                <w:rFonts w:ascii="Courier New" w:hAnsi="Courier New" w:cs="Courier New"/>
              </w:rPr>
              <w:t>o</w:t>
            </w:r>
            <w:r>
              <w:rPr>
                <w:sz w:val="14"/>
                <w:szCs w:val="14"/>
              </w:rPr>
              <w:t xml:space="preserve">   </w:t>
            </w:r>
            <w:r>
              <w:t>configurare delle eccezioni alla regola generale per escludere (o includere) le indennità operative dal calcolo qualora segnalato un evento giuridico specifico;</w:t>
            </w:r>
          </w:p>
          <w:p w:rsidR="007912C2" w:rsidRDefault="007912C2" w:rsidP="007912C2">
            <w:pPr>
              <w:pStyle w:val="Paragrafoelenco"/>
              <w:spacing w:before="0" w:beforeAutospacing="0" w:after="0" w:afterAutospacing="0" w:line="276" w:lineRule="auto"/>
              <w:ind w:left="1054" w:hanging="360"/>
              <w:jc w:val="both"/>
            </w:pPr>
            <w:r>
              <w:rPr>
                <w:rFonts w:ascii="Courier New" w:hAnsi="Courier New" w:cs="Courier New"/>
              </w:rPr>
              <w:t>o</w:t>
            </w:r>
            <w:r>
              <w:rPr>
                <w:sz w:val="14"/>
                <w:szCs w:val="14"/>
              </w:rPr>
              <w:t xml:space="preserve">   </w:t>
            </w:r>
            <w:r>
              <w:t>specificare la percentuale (o il valore) di riduzione sia per la regola generale che per le eccezioni;</w:t>
            </w:r>
          </w:p>
          <w:p w:rsidR="007912C2" w:rsidRDefault="007912C2" w:rsidP="007912C2">
            <w:pPr>
              <w:pStyle w:val="Paragrafoelenco"/>
              <w:spacing w:before="0" w:beforeAutospacing="0" w:after="0" w:afterAutospacing="0" w:line="276" w:lineRule="auto"/>
              <w:ind w:left="1054" w:hanging="360"/>
              <w:jc w:val="both"/>
            </w:pPr>
            <w:r>
              <w:rPr>
                <w:rFonts w:ascii="Courier New" w:hAnsi="Courier New" w:cs="Courier New"/>
              </w:rPr>
              <w:t>o</w:t>
            </w:r>
            <w:r>
              <w:rPr>
                <w:sz w:val="14"/>
                <w:szCs w:val="14"/>
              </w:rPr>
              <w:t xml:space="preserve">   </w:t>
            </w:r>
            <w:r>
              <w:t>specificare un eventuale periodo di tempo (anni, mesi, giorni) a partire dal quale ha effetto la riduzione/sospensione (es. riduzione comunicata per 12 mesi, solo a partire dal sesto mese ha effetto economico).</w:t>
            </w:r>
          </w:p>
          <w:p w:rsidR="007912C2" w:rsidRDefault="007912C2" w:rsidP="007912C2">
            <w:pPr>
              <w:spacing w:before="100" w:beforeAutospacing="1" w:line="276" w:lineRule="auto"/>
              <w:jc w:val="both"/>
            </w:pPr>
            <w:r>
              <w:t> </w:t>
            </w:r>
          </w:p>
          <w:p w:rsidR="007912C2" w:rsidRDefault="007912C2" w:rsidP="007912C2">
            <w:pPr>
              <w:spacing w:before="100" w:beforeAutospacing="1" w:line="276" w:lineRule="auto"/>
              <w:jc w:val="both"/>
            </w:pPr>
            <w:r>
              <w:t>L’amministratore di sistema deve poter configurare il comportamento standard della procedura di determinazione delle indennità di impiego operativo laddove è necessario comparare gli importi con il criterio del trattamento più favorevole; tale comportamento standard può essere comunque variato dalla scelta dell’amministrato che deve poter esercitare direttamente o chi per lui ne fa le veci sul sistema, il cosiddetto “diritto di opzione”.</w:t>
            </w:r>
          </w:p>
          <w:p w:rsidR="007912C2" w:rsidRDefault="007912C2" w:rsidP="007912C2">
            <w:pPr>
              <w:spacing w:before="100" w:beforeAutospacing="1" w:line="276" w:lineRule="auto"/>
              <w:jc w:val="both"/>
            </w:pPr>
            <w:r>
              <w:t>Il comportamento standard della procedura deve essere quello di comparare gli importi delle indennità di impiego operativo considerando la differente tassazione fiscale degli importi di indennità (es. indennità di fuori area più favorevole per tassazione fiscale al 50%) e scegliendo l’opzione economicamente superiore utilizzando il lordo fiscale.</w:t>
            </w:r>
          </w:p>
          <w:p w:rsidR="007912C2" w:rsidRDefault="007912C2" w:rsidP="007912C2">
            <w:pPr>
              <w:pStyle w:val="Paragrafoelenco"/>
              <w:spacing w:before="0" w:beforeAutospacing="0" w:after="0" w:afterAutospacing="0" w:line="276" w:lineRule="auto"/>
              <w:ind w:left="1440"/>
              <w:jc w:val="both"/>
            </w:pPr>
            <w:r>
              <w:t> </w:t>
            </w:r>
          </w:p>
          <w:p w:rsidR="007912C2" w:rsidRDefault="007912C2" w:rsidP="007912C2">
            <w:pPr>
              <w:pStyle w:val="Paragrafoelenco"/>
              <w:spacing w:before="0" w:beforeAutospacing="0" w:after="0" w:afterAutospacing="0" w:line="276" w:lineRule="auto"/>
              <w:jc w:val="both"/>
            </w:pPr>
            <w:r>
              <w:t xml:space="preserve">L’amministratore di sistema deve poter configurare per ogni indennità d’impiego operativo la presenza o meno di “aumenti” (cosiddette maggiorazioni) di quote percentuali </w:t>
            </w:r>
            <w:r>
              <w:rPr>
                <w:b/>
                <w:bCs/>
              </w:rPr>
              <w:t>di tali indennità</w:t>
            </w:r>
            <w:r>
              <w:t>; nel caso di presenza di aumenti, deve poter specificare l’elenco delle casistiche e relative percentuali previste per ogni indennità (ad esempio, nel caso di inserimento di indennità operativa di imbarco, l’amministratore di sistema inserirà l’aumento del 50% nel caso di “dislocazione dell’unità navale in acque mediterranee di Stati esteri, o, fuori del Mediterraneo”, nelle acque di Stati esteri appartenenti geograficamente all’Europa). Deve essere inoltre possibile associare a questi aumenti anche altre indennità d’impiego operativo diverse dall’imbarco in modo da consentire al sistema l’automatico aumento percentuale di tutte le indennità specificate (es. indennità supplementare di comando navale).</w:t>
            </w:r>
          </w:p>
          <w:p w:rsidR="007912C2" w:rsidRDefault="007912C2" w:rsidP="007912C2">
            <w:pPr>
              <w:spacing w:before="100" w:beforeAutospacing="1"/>
              <w:jc w:val="both"/>
            </w:pPr>
          </w:p>
          <w:p w:rsidR="007912C2" w:rsidRDefault="007912C2" w:rsidP="007912C2">
            <w:pPr>
              <w:spacing w:before="100" w:beforeAutospacing="1"/>
              <w:jc w:val="both"/>
            </w:pPr>
            <w:r>
              <w:lastRenderedPageBreak/>
              <w:t xml:space="preserve">L’amministratore di sistema deve poter configurare o meno come oggetto di validazione i seguenti processi, al fine di procedere con l’applicazione dei derivanti effetti stipendiali: </w:t>
            </w:r>
          </w:p>
          <w:p w:rsidR="007912C2" w:rsidRDefault="007912C2" w:rsidP="007912C2">
            <w:pPr>
              <w:pStyle w:val="Paragrafoelenco"/>
              <w:ind w:hanging="360"/>
            </w:pPr>
            <w:r>
              <w:rPr>
                <w:rFonts w:ascii="Symbol" w:hAnsi="Symbol"/>
              </w:rPr>
              <w:t></w:t>
            </w:r>
            <w:r>
              <w:rPr>
                <w:sz w:val="14"/>
                <w:szCs w:val="14"/>
              </w:rPr>
              <w:t xml:space="preserve">           </w:t>
            </w:r>
            <w:r>
              <w:t>cambio di ruolo o specialità, anche per un periodo pregresso;</w:t>
            </w:r>
          </w:p>
          <w:p w:rsidR="007912C2" w:rsidRDefault="007912C2" w:rsidP="007912C2">
            <w:pPr>
              <w:pStyle w:val="Paragrafoelenco"/>
              <w:ind w:hanging="360"/>
            </w:pPr>
            <w:r>
              <w:rPr>
                <w:rFonts w:ascii="Symbol" w:hAnsi="Symbol"/>
              </w:rPr>
              <w:t></w:t>
            </w:r>
            <w:r>
              <w:rPr>
                <w:sz w:val="14"/>
                <w:szCs w:val="14"/>
              </w:rPr>
              <w:t xml:space="preserve">           </w:t>
            </w:r>
            <w:r>
              <w:t>promozioni (cambio di grado, che comporta il cambio della fascia di attribuzione dell’operativa (es. da sergente maggiore capo a sergente maggiore capo +25 anni di servizio);</w:t>
            </w:r>
          </w:p>
          <w:p w:rsidR="007912C2" w:rsidRDefault="007912C2" w:rsidP="007912C2">
            <w:pPr>
              <w:pStyle w:val="Paragrafoelenco"/>
              <w:ind w:hanging="360"/>
            </w:pPr>
            <w:r>
              <w:rPr>
                <w:rFonts w:ascii="Symbol" w:hAnsi="Symbol"/>
              </w:rPr>
              <w:t></w:t>
            </w:r>
            <w:r>
              <w:rPr>
                <w:sz w:val="14"/>
                <w:szCs w:val="14"/>
              </w:rPr>
              <w:t xml:space="preserve">           </w:t>
            </w:r>
            <w:r>
              <w:t>segnalazione di periodi utili per l’attribuzione dell’indennità operativa di impiego;</w:t>
            </w:r>
          </w:p>
          <w:p w:rsidR="007912C2" w:rsidRDefault="007912C2" w:rsidP="007912C2">
            <w:pPr>
              <w:pStyle w:val="Paragrafoelenco"/>
              <w:ind w:hanging="360"/>
            </w:pPr>
            <w:r>
              <w:rPr>
                <w:rFonts w:ascii="Symbol" w:hAnsi="Symbol"/>
              </w:rPr>
              <w:t></w:t>
            </w:r>
            <w:r>
              <w:rPr>
                <w:sz w:val="14"/>
                <w:szCs w:val="14"/>
              </w:rPr>
              <w:t xml:space="preserve">          </w:t>
            </w:r>
            <w:r>
              <w:t>segnalazione di un periodo non utile (aspettativa) all’anzianità di servizio;</w:t>
            </w:r>
          </w:p>
          <w:p w:rsidR="007912C2" w:rsidRDefault="007912C2" w:rsidP="007912C2">
            <w:pPr>
              <w:pStyle w:val="Paragrafoelenco"/>
              <w:ind w:hanging="360"/>
            </w:pPr>
            <w:r>
              <w:rPr>
                <w:rFonts w:ascii="Symbol" w:hAnsi="Symbol"/>
              </w:rPr>
              <w:t></w:t>
            </w:r>
            <w:r>
              <w:rPr>
                <w:sz w:val="14"/>
                <w:szCs w:val="14"/>
              </w:rPr>
              <w:t xml:space="preserve">          </w:t>
            </w:r>
            <w:r>
              <w:t>adeguamenti e ricalcoli a seguito del rinnovo contrattuale o adeguamenti normativi</w:t>
            </w:r>
          </w:p>
          <w:p w:rsidR="007912C2" w:rsidRDefault="007912C2" w:rsidP="007912C2">
            <w:pPr>
              <w:pStyle w:val="Paragrafoelenco"/>
              <w:ind w:hanging="360"/>
            </w:pPr>
            <w:r>
              <w:rPr>
                <w:rFonts w:ascii="Symbol" w:hAnsi="Symbol"/>
              </w:rPr>
              <w:t></w:t>
            </w:r>
            <w:r>
              <w:rPr>
                <w:sz w:val="14"/>
                <w:szCs w:val="14"/>
              </w:rPr>
              <w:t xml:space="preserve">          </w:t>
            </w:r>
            <w:r>
              <w:t>variazione delle caratteristiche di un ente d’impiego;</w:t>
            </w:r>
          </w:p>
          <w:p w:rsidR="007912C2" w:rsidRDefault="007912C2" w:rsidP="007912C2">
            <w:pPr>
              <w:pStyle w:val="Paragrafoelenco"/>
              <w:ind w:hanging="360"/>
            </w:pPr>
            <w:r>
              <w:rPr>
                <w:rFonts w:ascii="Symbol" w:hAnsi="Symbol"/>
              </w:rPr>
              <w:t></w:t>
            </w:r>
            <w:r>
              <w:rPr>
                <w:sz w:val="14"/>
                <w:szCs w:val="14"/>
              </w:rPr>
              <w:t xml:space="preserve">          </w:t>
            </w:r>
            <w:r>
              <w:t>validazione di una nuova percentuale di trascinamento.</w:t>
            </w:r>
          </w:p>
          <w:p w:rsidR="007912C2" w:rsidRDefault="007912C2" w:rsidP="007912C2">
            <w:pPr>
              <w:pStyle w:val="Paragrafoelenco"/>
            </w:pPr>
            <w:r>
              <w:t> </w:t>
            </w:r>
          </w:p>
          <w:p w:rsidR="007912C2" w:rsidRDefault="007912C2" w:rsidP="007912C2">
            <w:pPr>
              <w:pStyle w:val="Paragrafoelenco"/>
            </w:pPr>
            <w:r>
              <w:t>In caso di ricalcolo delle spettanze, il sistema deve comunque produrre e rendere disponibile all’operatore di amministrazione una reportistica delle elaborazioni effettuate.</w:t>
            </w:r>
          </w:p>
          <w:p w:rsidR="007912C2" w:rsidRDefault="007912C2" w:rsidP="007912C2">
            <w:pPr>
              <w:spacing w:before="100" w:beforeAutospacing="1" w:after="100" w:afterAutospacing="1"/>
              <w:jc w:val="both"/>
            </w:pPr>
            <w:r>
              <w:t xml:space="preserve">L’amministratore di amministrazione deve poter configurare a sistema eventuale </w:t>
            </w:r>
            <w:r>
              <w:rPr>
                <w:b/>
                <w:bCs/>
              </w:rPr>
              <w:t xml:space="preserve">messaggistica </w:t>
            </w:r>
            <w:r>
              <w:t xml:space="preserve">rivolta agli operatori di amministrazione del sistema e/o agli amministrati di una specifica Forza Armata o di tutte le forze di propria competenza e specificando eventuali attributi quali documenti allegati, data di inizio e fine visualizzazione sul sistema, importanza (importante, avviso, notizia). </w:t>
            </w:r>
          </w:p>
          <w:p w:rsidR="007912C2" w:rsidRDefault="007912C2" w:rsidP="007912C2">
            <w:pPr>
              <w:spacing w:before="100" w:beforeAutospacing="1" w:after="100" w:afterAutospacing="1"/>
              <w:jc w:val="both"/>
            </w:pPr>
            <w:r>
              <w:t>L'amministratore di amministrazione deve poter configurare sul sistema la possibilità di avvisare o bloccare le operazioni di messa a disposizione e presa in carico qualora non sia aggiornato l’atto dispositivo di trascinamento alla data della messa a disposizione per l'amministrato oggetto del trasferimento.</w:t>
            </w:r>
          </w:p>
          <w:permEnd w:id="1118380392"/>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75499319" w:edGrp="everyone"/>
      <w:permEnd w:id="75499319"/>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33" w:name="w2t4351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1809866921" w:edGrp="everyone"/>
            <w:r>
              <w:rPr>
                <w:rFonts w:ascii="Calibri" w:hAnsi="Calibri" w:cs="Calibri"/>
                <w:szCs w:val="26"/>
              </w:rPr>
              <w:t>_</w:t>
            </w:r>
            <w:permEnd w:id="180986692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6" w:history="1">
              <w:r w:rsidRPr="007912C2">
                <w:rPr>
                  <w:rStyle w:val="Collegamentoipertestuale"/>
                  <w:rFonts w:ascii="Calibri" w:hAnsi="Calibri" w:cs="Calibri"/>
                  <w:szCs w:val="20"/>
                </w:rPr>
                <w:t>43516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7" w:history="1">
              <w:r w:rsidRPr="007912C2">
                <w:rPr>
                  <w:rStyle w:val="Collegamentoipertestuale"/>
                  <w:rFonts w:ascii="Calibri" w:hAnsi="Calibri" w:cs="Calibri"/>
                  <w:szCs w:val="20"/>
                </w:rPr>
                <w:t>19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33"/>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43516 - Visualizzazione dettagli delle indennità d'impiego operativo percepite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09/07/2019 15:44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955141569" w:edGrp="everyone" w:displacedByCustomXml="next"/>
        <w:sdt>
          <w:sdtPr>
            <w:rPr>
              <w:rFonts w:ascii="Calibri" w:hAnsi="Calibri" w:cs="Calibri"/>
              <w:color w:val="000000" w:themeColor="text1"/>
              <w:szCs w:val="20"/>
            </w:rPr>
            <w:id w:val="762035376"/>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95514156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137902997" w:edGrp="everyone"/>
            <w:r>
              <w:rPr>
                <w:rFonts w:ascii="Calibri" w:hAnsi="Calibri" w:cs="Calibri"/>
                <w:b/>
                <w:sz w:val="26"/>
                <w:szCs w:val="26"/>
              </w:rPr>
              <w:t>Visualizzazione dettagli delle indennità d'impiego operativo percepite</w:t>
            </w:r>
            <w:permEnd w:id="137902997"/>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Pr>
              <w:pStyle w:val="NormaleWeb"/>
            </w:pPr>
            <w:permStart w:id="1852538811" w:edGrp="everyone"/>
            <w:r>
              <w:t xml:space="preserve">Gli amministrati oppure gli operatori del sistema, devono essere in grado di visualizzare tramite apposita funzionalità: </w:t>
            </w:r>
          </w:p>
          <w:p w:rsidR="007912C2" w:rsidRDefault="007912C2" w:rsidP="007912C2">
            <w:pPr>
              <w:pStyle w:val="NormaleWeb"/>
              <w:numPr>
                <w:ilvl w:val="0"/>
                <w:numId w:val="21"/>
              </w:numPr>
            </w:pPr>
            <w:r>
              <w:t>l’insieme delle indennità d’impiego operativo attualmente percepite, con la data di inizio e fine percezione laddove presente;</w:t>
            </w:r>
          </w:p>
          <w:p w:rsidR="007912C2" w:rsidRDefault="007912C2" w:rsidP="007912C2">
            <w:pPr>
              <w:pStyle w:val="NormaleWeb"/>
              <w:numPr>
                <w:ilvl w:val="0"/>
                <w:numId w:val="21"/>
              </w:numPr>
            </w:pPr>
            <w:r>
              <w:t>l’insieme delle indennità di impiego operativo percepite durante la propria carriera, sia in forma aggregata sommando i periodi di percezione della stessa indennità, sia in forma analitica separando i periodi e ordinando la lista in modo decrescente per data;</w:t>
            </w:r>
          </w:p>
          <w:p w:rsidR="007912C2" w:rsidRDefault="007912C2" w:rsidP="007912C2">
            <w:pPr>
              <w:pStyle w:val="NormaleWeb"/>
              <w:numPr>
                <w:ilvl w:val="0"/>
                <w:numId w:val="21"/>
              </w:numPr>
            </w:pPr>
            <w:r>
              <w:t>le fasi di attribuzione delle percentuali di trascinamento possedute durante la carriera, con il dettaglio del calcolo che ha portato alla percentuale finale;</w:t>
            </w:r>
          </w:p>
          <w:p w:rsidR="007912C2" w:rsidRDefault="007912C2" w:rsidP="007912C2">
            <w:pPr>
              <w:pStyle w:val="NormaleWeb"/>
            </w:pPr>
            <w:r>
              <w:t>I dati mostrati a sistema devono essere stampabili ed esportabili.</w:t>
            </w:r>
          </w:p>
          <w:permEnd w:id="1852538811"/>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1362183471" w:edGrp="everyone"/>
      <w:permEnd w:id="1362183471"/>
    </w:p>
    <w:p w:rsidR="007912C2" w:rsidRPr="005C18B6" w:rsidRDefault="007912C2" w:rsidP="00313F92">
      <w:pPr>
        <w:tabs>
          <w:tab w:val="left" w:pos="5565"/>
        </w:tabs>
        <w:rPr>
          <w:rFonts w:ascii="Calibri" w:hAnsi="Calibri" w:cs="Calibri"/>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Default="007912C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7912C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7912C2" w:rsidRPr="00497C57" w:rsidRDefault="007912C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7912C2" w:rsidRPr="00497C57" w:rsidRDefault="007912C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7912C2" w:rsidRPr="00A45B81" w:rsidRDefault="007912C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7912C2" w:rsidRPr="00A45B81" w:rsidRDefault="007912C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7912C2" w:rsidRPr="00497C57" w:rsidRDefault="007912C2" w:rsidP="00CF18D8">
            <w:pPr>
              <w:keepNext/>
              <w:keepLines/>
              <w:rPr>
                <w:rFonts w:ascii="Calibri" w:hAnsi="Calibri" w:cs="Calibri"/>
                <w:szCs w:val="20"/>
              </w:rPr>
            </w:pPr>
          </w:p>
        </w:tc>
      </w:tr>
      <w:tr w:rsidR="007912C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7912C2" w:rsidRPr="00773A69" w:rsidRDefault="007912C2" w:rsidP="00CF18D8">
            <w:pPr>
              <w:keepNext/>
              <w:keepLines/>
              <w:jc w:val="center"/>
              <w:rPr>
                <w:rFonts w:ascii="Calibri" w:hAnsi="Calibri" w:cs="Calibri"/>
                <w:color w:val="CC66FF"/>
              </w:rPr>
            </w:pPr>
            <w:bookmarkStart w:id="34" w:name="w2t4356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7912C2" w:rsidRPr="00497C57" w:rsidRDefault="007912C2" w:rsidP="00CF18D8">
            <w:pPr>
              <w:keepNext/>
              <w:keepLines/>
              <w:jc w:val="center"/>
              <w:rPr>
                <w:rFonts w:ascii="Calibri" w:hAnsi="Calibri" w:cs="Calibri"/>
                <w:szCs w:val="26"/>
              </w:rPr>
            </w:pPr>
            <w:permStart w:id="93064769" w:edGrp="everyone"/>
            <w:r>
              <w:rPr>
                <w:rFonts w:ascii="Calibri" w:hAnsi="Calibri" w:cs="Calibri"/>
                <w:szCs w:val="26"/>
              </w:rPr>
              <w:t>_</w:t>
            </w:r>
            <w:permEnd w:id="9306476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7912C2" w:rsidRPr="00497C57" w:rsidRDefault="007912C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8" w:history="1">
              <w:r w:rsidRPr="007912C2">
                <w:rPr>
                  <w:rStyle w:val="Collegamentoipertestuale"/>
                  <w:rFonts w:ascii="Calibri" w:hAnsi="Calibri" w:cs="Calibri"/>
                  <w:szCs w:val="20"/>
                </w:rPr>
                <w:t>43565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hyperlink r:id="rId29" w:history="1">
              <w:r w:rsidRPr="007912C2">
                <w:rPr>
                  <w:rStyle w:val="Collegamentoipertestuale"/>
                  <w:rFonts w:ascii="Calibri" w:hAnsi="Calibri" w:cs="Calibri"/>
                  <w:szCs w:val="20"/>
                </w:rPr>
                <w:t>19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7912C2" w:rsidRPr="00497C57" w:rsidRDefault="007912C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7912C2" w:rsidRPr="00497C57" w:rsidRDefault="007912C2" w:rsidP="00CF18D8">
            <w:pPr>
              <w:keepNext/>
              <w:keepLines/>
              <w:jc w:val="center"/>
              <w:rPr>
                <w:rFonts w:ascii="Calibri" w:hAnsi="Calibri" w:cs="Calibri"/>
                <w:szCs w:val="20"/>
              </w:rPr>
            </w:pPr>
            <w:hyperlink w:anchor="w2t43502" w:history="1">
              <w:r w:rsidRPr="007912C2">
                <w:rPr>
                  <w:rStyle w:val="Collegamentoipertestuale"/>
                  <w:rFonts w:ascii="Calibri" w:hAnsi="Calibri" w:cs="Calibri"/>
                  <w:szCs w:val="20"/>
                </w:rPr>
                <w:t>43502</w:t>
              </w:r>
            </w:hyperlink>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7912C2" w:rsidRPr="00497C57" w:rsidRDefault="007912C2" w:rsidP="00CF18D8">
            <w:pPr>
              <w:keepNext/>
              <w:keepLines/>
              <w:jc w:val="center"/>
              <w:rPr>
                <w:rFonts w:ascii="Calibri" w:hAnsi="Calibri" w:cs="Calibri"/>
                <w:szCs w:val="20"/>
              </w:rPr>
            </w:pPr>
          </w:p>
        </w:tc>
      </w:tr>
      <w:bookmarkEnd w:id="34"/>
      <w:tr w:rsidR="007912C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7912C2" w:rsidRPr="005C18B6" w:rsidRDefault="007912C2" w:rsidP="00CF18D8">
            <w:pPr>
              <w:pStyle w:val="TFSWorkitem3"/>
              <w:keepLines/>
            </w:pPr>
            <w:r>
              <w:t>Feature 43565 - Confronto di cumulo con indennità pensionabile( solo P.d.S. )</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18760B"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11/07/2019 14:55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7912C2" w:rsidRPr="004952F2" w:rsidRDefault="007912C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35651054" w:edGrp="everyone" w:displacedByCustomXml="next"/>
        <w:sdt>
          <w:sdtPr>
            <w:rPr>
              <w:rFonts w:ascii="Calibri" w:hAnsi="Calibri" w:cs="Calibri"/>
              <w:color w:val="000000" w:themeColor="text1"/>
              <w:szCs w:val="20"/>
            </w:rPr>
            <w:id w:val="-1608657159"/>
            <w:placeholder>
              <w:docPart w:val="DefaultPlaceholder_1081868575"/>
            </w:placeholder>
            <w:dropDownList>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7912C2" w:rsidRPr="00324ECD" w:rsidRDefault="007912C2" w:rsidP="00CF18D8">
                <w:pPr>
                  <w:keepNext/>
                  <w:keepLines/>
                  <w:rPr>
                    <w:rFonts w:ascii="Calibri" w:hAnsi="Calibri" w:cs="Calibri"/>
                    <w:color w:val="000000" w:themeColor="text1"/>
                    <w:szCs w:val="20"/>
                  </w:rPr>
                </w:pPr>
                <w:r>
                  <w:rPr>
                    <w:rFonts w:ascii="Calibri" w:hAnsi="Calibri" w:cs="Calibri"/>
                    <w:color w:val="000000" w:themeColor="text1"/>
                    <w:szCs w:val="20"/>
                  </w:rPr>
                  <w:t>Draft</w:t>
                </w:r>
              </w:p>
            </w:tc>
          </w:sdtContent>
        </w:sdt>
        <w:permEnd w:id="83565105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7912C2" w:rsidRPr="005C18B6" w:rsidRDefault="007912C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7912C2" w:rsidRPr="005C18B6" w:rsidRDefault="007912C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7912C2" w:rsidRPr="005C18B6" w:rsidRDefault="007912C2"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7912C2" w:rsidRPr="005C18B6" w:rsidRDefault="007912C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7912C2" w:rsidRPr="005C18B6" w:rsidRDefault="007912C2" w:rsidP="00CF18D8">
            <w:pPr>
              <w:keepNext/>
              <w:keepLines/>
              <w:jc w:val="center"/>
              <w:rPr>
                <w:rFonts w:ascii="Calibri" w:hAnsi="Calibri" w:cs="Calibri"/>
                <w:b/>
                <w:sz w:val="26"/>
                <w:szCs w:val="26"/>
              </w:rPr>
            </w:pPr>
            <w:permStart w:id="885262911" w:edGrp="everyone"/>
            <w:r>
              <w:rPr>
                <w:rFonts w:ascii="Calibri" w:hAnsi="Calibri" w:cs="Calibri"/>
                <w:b/>
                <w:sz w:val="26"/>
                <w:szCs w:val="26"/>
              </w:rPr>
              <w:t>Confronto di cumulo con indennità pensionabile( solo P.d.S. )</w:t>
            </w:r>
            <w:permEnd w:id="885262911"/>
          </w:p>
        </w:tc>
        <w:tc>
          <w:tcPr>
            <w:tcW w:w="58" w:type="dxa"/>
            <w:tcBorders>
              <w:top w:val="nil"/>
              <w:left w:val="nil"/>
              <w:bottom w:val="nil"/>
              <w:right w:val="single" w:sz="4" w:space="0" w:color="auto"/>
            </w:tcBorders>
            <w:tcMar>
              <w:left w:w="0" w:type="dxa"/>
              <w:right w:w="0" w:type="dxa"/>
            </w:tcMar>
          </w:tcPr>
          <w:p w:rsidR="007912C2" w:rsidRPr="005C18B6" w:rsidRDefault="007912C2" w:rsidP="00CF18D8">
            <w:pPr>
              <w:keepNext/>
              <w:keepLines/>
              <w:rPr>
                <w:rFonts w:ascii="Calibri" w:hAnsi="Calibri" w:cs="Calibri"/>
                <w:b/>
                <w:szCs w:val="26"/>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5C18B6" w:rsidRDefault="007912C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D5543D">
            <w:pPr>
              <w:keepLines/>
              <w:rPr>
                <w:rFonts w:ascii="Calibri" w:hAnsi="Calibri" w:cs="Calibri"/>
                <w:szCs w:val="18"/>
              </w:rPr>
            </w:pPr>
          </w:p>
        </w:tc>
      </w:tr>
      <w:tr w:rsidR="007912C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912C2" w:rsidRDefault="007912C2" w:rsidP="007912C2">
            <w:permStart w:id="605319459" w:edGrp="everyone"/>
            <w:r>
              <w:rPr>
                <w:rFonts w:ascii="Calibri" w:hAnsi="Calibri"/>
              </w:rPr>
              <w:t>Alcune delle indennità operative specificate dalla legge Legge n. 505 del 1978 (indennità di navigazione e volo)</w:t>
            </w:r>
            <w:bookmarkStart w:id="35" w:name="_ftnref1"/>
            <w:r>
              <w:rPr>
                <w:rStyle w:val="Rimandonotaapidipagina"/>
                <w:rFonts w:ascii="Calibri" w:hAnsi="Calibri"/>
              </w:rPr>
              <w:t>[1]</w:t>
            </w:r>
            <w:bookmarkEnd w:id="35"/>
            <w:r>
              <w:rPr>
                <w:rFonts w:ascii="Calibri" w:hAnsi="Calibri"/>
              </w:rPr>
              <w:t xml:space="preserve"> partecipano ad un confronto </w:t>
            </w:r>
            <w:r>
              <w:rPr>
                <w:rFonts w:ascii="Calibri" w:hAnsi="Calibri"/>
                <w:i/>
                <w:iCs/>
              </w:rPr>
              <w:t>di cumulo</w:t>
            </w:r>
            <w:r>
              <w:rPr>
                <w:rFonts w:ascii="Calibri" w:hAnsi="Calibri"/>
              </w:rPr>
              <w:t> con l’indennità pensionabile, al fine di determinare l’importo di convenienza economica per il dipendente,  in applicazione delle disposizioni di cui all’art.1, c.2 della legge n. 505 del 1978</w:t>
            </w:r>
            <w:bookmarkStart w:id="36" w:name="_ftnref2"/>
            <w:r>
              <w:rPr>
                <w:rStyle w:val="Rimandonotaapidipagina"/>
                <w:rFonts w:ascii="Calibri" w:hAnsi="Calibri"/>
              </w:rPr>
              <w:t>[2]</w:t>
            </w:r>
            <w:bookmarkEnd w:id="36"/>
            <w:r>
              <w:rPr>
                <w:rFonts w:ascii="Calibri" w:hAnsi="Calibri"/>
              </w:rPr>
              <w:t xml:space="preserve">;lo scopo del confronto tra indennità operativa e l'indennità pensionabile è quello di determinare quale dei due importi </w:t>
            </w:r>
            <w:r>
              <w:rPr>
                <w:rFonts w:ascii="Calibri" w:hAnsi="Calibri"/>
              </w:rPr>
              <w:lastRenderedPageBreak/>
              <w:t>debba essere dimezzato, così come richiesto dalla normativa. Dal confronto si determina quale importo conferire al dipendente per intero.</w:t>
            </w:r>
          </w:p>
          <w:p w:rsidR="007912C2" w:rsidRDefault="007912C2" w:rsidP="007912C2"/>
          <w:p w:rsidR="007912C2" w:rsidRDefault="007912C2" w:rsidP="007912C2">
            <w:r>
              <w:rPr>
                <w:rFonts w:ascii="Calibri" w:hAnsi="Calibri"/>
              </w:rPr>
              <w:t>Il sistema, durante la determinazione delle indennità di impiego operativo spettanti, deve operare un confronto tra le indennità configurate come oggetto di tale confronto e la voce di indennità pensionabile, al fine di determinare quale tra le due voci debba essere dimezzata e quale attribuire per intero per ottenere il valore finale economicamente maggiore.</w:t>
            </w:r>
          </w:p>
          <w:p w:rsidR="007912C2" w:rsidRDefault="007912C2" w:rsidP="007912C2">
            <w:r>
              <w:rPr>
                <w:rFonts w:ascii="Calibri" w:hAnsi="Calibri"/>
              </w:rPr>
              <w:t>Allo stesso modo, devono partecipare al confronto di cumulo con l'indennità di amministrazione anche le indennità ad personam e di trascinamento se derivate dall'operativa di base che partecipa al confronto.</w:t>
            </w:r>
          </w:p>
          <w:p w:rsidR="007912C2" w:rsidRDefault="007912C2" w:rsidP="007912C2"/>
          <w:p w:rsidR="007912C2" w:rsidRDefault="007912C2" w:rsidP="007912C2">
            <w:r>
              <w:br w:type="textWrapping" w:clear="all"/>
            </w:r>
          </w:p>
          <w:p w:rsidR="007912C2" w:rsidRDefault="007912C2" w:rsidP="007912C2">
            <w:r>
              <w:pict>
                <v:rect id="_x0000_i1205" style="width:159.05pt;height:.75pt" o:hrpct="330" o:hrstd="t" o:hr="t" fillcolor="gray" stroked="f"/>
              </w:pict>
            </w:r>
          </w:p>
          <w:p w:rsidR="007912C2" w:rsidRDefault="007912C2" w:rsidP="007912C2">
            <w:pPr>
              <w:pStyle w:val="Testonotaapidipagina"/>
            </w:pPr>
            <w:bookmarkStart w:id="37" w:name="_ftn1"/>
            <w:r>
              <w:rPr>
                <w:rStyle w:val="Rimandonotaapidipagina"/>
                <w:rFonts w:ascii="Calibri" w:hAnsi="Calibri"/>
                <w:sz w:val="14"/>
                <w:szCs w:val="14"/>
              </w:rPr>
              <w:t>[1]</w:t>
            </w:r>
            <w:r>
              <w:rPr>
                <w:sz w:val="14"/>
                <w:szCs w:val="14"/>
              </w:rPr>
              <w:t xml:space="preserve"> al confronto dei valori non partecipano tutte le indennità operative ma solo alcune; le i.o. “ad personam” e “di trascinamento”  partecipano o meno al processo di confronto e dimezzamento, solo se la loro indennità operativa di base di riferimento vi partecipa</w:t>
            </w:r>
          </w:p>
          <w:p w:rsidR="007912C2" w:rsidRDefault="007912C2" w:rsidP="007912C2">
            <w:pPr>
              <w:pStyle w:val="Testonotaapidipagina"/>
            </w:pPr>
            <w:bookmarkStart w:id="38" w:name="_ftn2"/>
            <w:r>
              <w:rPr>
                <w:rStyle w:val="Rimandonotaapidipagina"/>
                <w:rFonts w:ascii="Calibri" w:hAnsi="Calibri"/>
                <w:sz w:val="14"/>
                <w:szCs w:val="14"/>
              </w:rPr>
              <w:t>[2]</w:t>
            </w:r>
            <w:bookmarkEnd w:id="38"/>
            <w:r>
              <w:rPr>
                <w:sz w:val="14"/>
                <w:szCs w:val="14"/>
              </w:rPr>
              <w:t xml:space="preserve"> </w:t>
            </w:r>
            <w:bookmarkEnd w:id="37"/>
            <w:r>
              <w:rPr>
                <w:sz w:val="14"/>
                <w:szCs w:val="14"/>
              </w:rPr>
              <w:fldChar w:fldCharType="begin"/>
            </w:r>
            <w:r>
              <w:rPr>
                <w:sz w:val="14"/>
                <w:szCs w:val="14"/>
              </w:rPr>
              <w:instrText xml:space="preserve"> HYPERLINK "http://tfsprod.mef.gov.it/tfs/DSII/FFAA%20-%20gestione%20indennit%C3%A0%20operative/_backlogs?level=Iniziative&amp;_a=backlog&amp;_dialog=workitem" \l "_ftnref1" </w:instrText>
            </w:r>
            <w:r>
              <w:rPr>
                <w:sz w:val="14"/>
                <w:szCs w:val="14"/>
              </w:rPr>
              <w:fldChar w:fldCharType="separate"/>
            </w:r>
            <w:r>
              <w:rPr>
                <w:rStyle w:val="Collegamentoipertestuale"/>
                <w:sz w:val="14"/>
                <w:szCs w:val="14"/>
              </w:rPr>
              <w:t>[1]</w:t>
            </w:r>
            <w:r>
              <w:rPr>
                <w:sz w:val="14"/>
                <w:szCs w:val="14"/>
              </w:rPr>
              <w:fldChar w:fldCharType="end"/>
            </w:r>
            <w:r>
              <w:rPr>
                <w:sz w:val="14"/>
                <w:szCs w:val="14"/>
              </w:rPr>
              <w:t> Si riporta il testo del comma 2 dell’articolo 1 della legge n, 505 del 1978:</w:t>
            </w:r>
          </w:p>
          <w:p w:rsidR="007912C2" w:rsidRDefault="007912C2" w:rsidP="007912C2">
            <w:pPr>
              <w:pStyle w:val="Testonotaapidipagina"/>
            </w:pPr>
            <w:r>
              <w:rPr>
                <w:i/>
                <w:iCs/>
                <w:sz w:val="14"/>
                <w:szCs w:val="14"/>
              </w:rPr>
              <w:t>“A decorrere dalla stessa data e fino al momento della ristrutturazione delle retribuzioni del personale dei corpi di polizia, le indennità di aeronavigazione e di volo ed annessi supplementi, previsti dalla </w:t>
            </w:r>
            <w:hyperlink r:id="rId30" w:history="1">
              <w:r>
                <w:rPr>
                  <w:rStyle w:val="Collegamentoipertestuale"/>
                  <w:i/>
                  <w:iCs/>
                  <w:sz w:val="14"/>
                  <w:szCs w:val="14"/>
                </w:rPr>
                <w:t>legge 5 maggio 1976, n. 187</w:t>
              </w:r>
            </w:hyperlink>
            <w:r>
              <w:rPr>
                <w:i/>
                <w:iCs/>
                <w:sz w:val="14"/>
                <w:szCs w:val="14"/>
              </w:rPr>
              <w:t> , sono cumulabili con l'indennità mensile per il servizio di istituto e relativo supplemento giornaliero spettante ai sensi della </w:t>
            </w:r>
            <w:hyperlink r:id="rId31" w:history="1">
              <w:r>
                <w:rPr>
                  <w:rStyle w:val="Collegamentoipertestuale"/>
                  <w:i/>
                  <w:iCs/>
                  <w:sz w:val="14"/>
                  <w:szCs w:val="14"/>
                </w:rPr>
                <w:t>legge 23 dicembre 1970, n. 1054</w:t>
              </w:r>
            </w:hyperlink>
            <w:r>
              <w:rPr>
                <w:i/>
                <w:iCs/>
                <w:sz w:val="14"/>
                <w:szCs w:val="14"/>
              </w:rPr>
              <w:t> , e successive modificazioni, delle quali indennità la più favorevole è cumulabile in misura intera e l'altra in misura limitata al 50 per cento.”</w:t>
            </w:r>
          </w:p>
          <w:permEnd w:id="605319459"/>
          <w:p w:rsidR="007912C2" w:rsidRPr="005C18B6" w:rsidRDefault="007912C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D5543D">
            <w:pPr>
              <w:keepLines/>
              <w:jc w:val="both"/>
              <w:rPr>
                <w:rFonts w:ascii="Calibri" w:hAnsi="Calibri" w:cs="Calibri"/>
              </w:rPr>
            </w:pPr>
          </w:p>
        </w:tc>
      </w:tr>
      <w:tr w:rsidR="007912C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7912C2" w:rsidRPr="00A3613B" w:rsidRDefault="007912C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7912C2" w:rsidRPr="00A64A6F" w:rsidRDefault="007912C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F5701A" w:rsidRDefault="007912C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5C18B6" w:rsidRDefault="007912C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60683A" w:rsidRDefault="007912C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7912C2" w:rsidRPr="0004674F" w:rsidRDefault="007912C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7912C2" w:rsidRPr="005C18B6" w:rsidRDefault="007912C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7912C2" w:rsidRPr="005C18B6" w:rsidRDefault="007912C2" w:rsidP="00CF18D8">
            <w:pPr>
              <w:keepNext/>
              <w:keepLines/>
              <w:jc w:val="both"/>
              <w:rPr>
                <w:rFonts w:ascii="Calibri" w:hAnsi="Calibri" w:cs="Calibri"/>
                <w:szCs w:val="20"/>
              </w:rPr>
            </w:pPr>
          </w:p>
        </w:tc>
      </w:tr>
      <w:tr w:rsidR="007912C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7912C2" w:rsidRPr="005C18B6" w:rsidRDefault="007912C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7912C2" w:rsidRPr="005C18B6" w:rsidRDefault="007912C2" w:rsidP="00CF18D8">
            <w:pPr>
              <w:keepNext/>
              <w:keepLines/>
              <w:rPr>
                <w:rFonts w:ascii="Calibri" w:hAnsi="Calibri" w:cs="Calibri"/>
                <w:szCs w:val="18"/>
              </w:rPr>
            </w:pPr>
          </w:p>
        </w:tc>
      </w:tr>
      <w:tr w:rsidR="007912C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7912C2" w:rsidRPr="00AD37E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7912C2" w:rsidRPr="005C18B6"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7912C2" w:rsidRPr="00107C08" w:rsidRDefault="007912C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7912C2" w:rsidRPr="00657300" w:rsidRDefault="007912C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7912C2" w:rsidRPr="00107C08" w:rsidRDefault="007912C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7912C2" w:rsidRPr="005C18B6" w:rsidRDefault="007912C2" w:rsidP="00CF18D8">
            <w:pPr>
              <w:keepNext/>
              <w:keepLines/>
              <w:rPr>
                <w:rFonts w:ascii="Calibri" w:hAnsi="Calibri" w:cs="Calibri"/>
              </w:rPr>
            </w:pPr>
          </w:p>
        </w:tc>
      </w:tr>
      <w:tr w:rsidR="007912C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7912C2" w:rsidRPr="005C18B6" w:rsidRDefault="007912C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7912C2" w:rsidRPr="005C18B6" w:rsidRDefault="007912C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7912C2" w:rsidRPr="005C18B6" w:rsidRDefault="007912C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7912C2" w:rsidRPr="005C18B6" w:rsidRDefault="007912C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7912C2" w:rsidRPr="005C18B6" w:rsidRDefault="007912C2" w:rsidP="00CF18D8">
            <w:pPr>
              <w:keepNext/>
              <w:keepLines/>
              <w:rPr>
                <w:rFonts w:ascii="Calibri" w:hAnsi="Calibri" w:cs="Calibri"/>
              </w:rPr>
            </w:pPr>
          </w:p>
        </w:tc>
      </w:tr>
    </w:tbl>
    <w:p w:rsidR="007912C2" w:rsidRPr="00426C9B" w:rsidRDefault="007912C2" w:rsidP="007065F3">
      <w:pPr>
        <w:spacing w:line="14" w:lineRule="exact"/>
        <w:contextualSpacing/>
        <w:jc w:val="center"/>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426C9B" w:rsidRDefault="007912C2" w:rsidP="007065F3">
      <w:pPr>
        <w:spacing w:line="14" w:lineRule="exact"/>
        <w:contextualSpacing/>
        <w:rPr>
          <w:vanish/>
          <w:sz w:val="2"/>
          <w:szCs w:val="20"/>
        </w:rPr>
      </w:pPr>
    </w:p>
    <w:p w:rsidR="007912C2" w:rsidRPr="005C18B6" w:rsidRDefault="007912C2" w:rsidP="007065F3">
      <w:pPr>
        <w:rPr>
          <w:rFonts w:ascii="Calibri" w:hAnsi="Calibri" w:cs="Calibri"/>
        </w:rPr>
      </w:pPr>
    </w:p>
    <w:p w:rsidR="007912C2" w:rsidRPr="005C18B6" w:rsidRDefault="007912C2" w:rsidP="007065F3">
      <w:pPr>
        <w:rPr>
          <w:rFonts w:ascii="Calibri" w:hAnsi="Calibri" w:cs="Calibri"/>
        </w:rPr>
      </w:pPr>
      <w:permStart w:id="1297431907" w:edGrp="everyone"/>
      <w:permEnd w:id="1297431907"/>
    </w:p>
    <w:p w:rsidR="00126B2F" w:rsidRPr="007912C2" w:rsidRDefault="00126B2F" w:rsidP="007912C2">
      <w:bookmarkStart w:id="39" w:name="_GoBack"/>
      <w:bookmarkEnd w:id="39"/>
    </w:p>
    <w:sectPr w:rsidR="00126B2F" w:rsidRPr="007912C2" w:rsidSect="0079391F">
      <w:headerReference w:type="default" r:id="rId32"/>
      <w:footerReference w:type="default" r:id="rId3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91F" w:rsidRPr="0001042E" w:rsidRDefault="0079391F" w:rsidP="0079391F">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79391F" w:rsidRPr="00810681" w:rsidTr="0079391F">
      <w:tc>
        <w:tcPr>
          <w:tcW w:w="4819" w:type="dxa"/>
          <w:tcBorders>
            <w:top w:val="nil"/>
          </w:tcBorders>
          <w:noWrap/>
          <w:tcMar>
            <w:left w:w="113" w:type="dxa"/>
            <w:right w:w="0" w:type="dxa"/>
          </w:tcMar>
        </w:tcPr>
        <w:p w:rsidR="0079391F" w:rsidRPr="00810681" w:rsidRDefault="0079391F" w:rsidP="0079391F">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79391F" w:rsidRPr="00860FFD" w:rsidRDefault="0079391F" w:rsidP="0079391F">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7912C2">
            <w:rPr>
              <w:rFonts w:ascii="Tahoma" w:hAnsi="Tahoma" w:cs="Tahoma"/>
              <w:noProof/>
            </w:rPr>
            <w:t>1</w:t>
          </w:r>
          <w:r w:rsidRPr="00860FFD">
            <w:rPr>
              <w:rFonts w:ascii="Tahoma" w:hAnsi="Tahoma" w:cs="Tahoma"/>
            </w:rPr>
            <w:fldChar w:fldCharType="end"/>
          </w:r>
        </w:p>
      </w:tc>
    </w:tr>
  </w:tbl>
  <w:p w:rsidR="0079391F" w:rsidRPr="00860FFD" w:rsidRDefault="0079391F" w:rsidP="0079391F">
    <w:pPr>
      <w:pStyle w:val="Pidipagina"/>
      <w:widowControl w:val="0"/>
      <w:tabs>
        <w:tab w:val="clear" w:pos="4819"/>
        <w:tab w:val="center" w:pos="9356"/>
        <w:tab w:val="left" w:pos="9521"/>
      </w:tabs>
      <w:rPr>
        <w:rFonts w:ascii="Tahoma" w:hAnsi="Tahoma" w:cs="Tahoma"/>
        <w:sz w:val="2"/>
      </w:rPr>
    </w:pPr>
  </w:p>
  <w:p w:rsidR="0079391F" w:rsidRDefault="0079391F" w:rsidP="0079391F">
    <w:pPr>
      <w:pStyle w:val="Pidipagina"/>
      <w:widowControl w:val="0"/>
    </w:pPr>
  </w:p>
  <w:p w:rsidR="0079391F" w:rsidRDefault="0079391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91F" w:rsidRPr="00803D25" w:rsidRDefault="0079391F" w:rsidP="0079391F">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79391F" w:rsidRPr="00803D25" w:rsidRDefault="0079391F" w:rsidP="0079391F">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1128"/>
    <w:multiLevelType w:val="multilevel"/>
    <w:tmpl w:val="9CFC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328B3"/>
    <w:multiLevelType w:val="multilevel"/>
    <w:tmpl w:val="4B80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252B21"/>
    <w:multiLevelType w:val="multilevel"/>
    <w:tmpl w:val="B5A8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F47E8"/>
    <w:multiLevelType w:val="multilevel"/>
    <w:tmpl w:val="B81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471A6F"/>
    <w:multiLevelType w:val="multilevel"/>
    <w:tmpl w:val="A6801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E71A5"/>
    <w:multiLevelType w:val="multilevel"/>
    <w:tmpl w:val="33D2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8B076C"/>
    <w:multiLevelType w:val="multilevel"/>
    <w:tmpl w:val="BCBC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A05A76"/>
    <w:multiLevelType w:val="multilevel"/>
    <w:tmpl w:val="76D2D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584D33"/>
    <w:multiLevelType w:val="multilevel"/>
    <w:tmpl w:val="C97AF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E14B9F"/>
    <w:multiLevelType w:val="multilevel"/>
    <w:tmpl w:val="A69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2D7D3F"/>
    <w:multiLevelType w:val="multilevel"/>
    <w:tmpl w:val="67A6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16F58"/>
    <w:multiLevelType w:val="multilevel"/>
    <w:tmpl w:val="A1DCE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643166"/>
    <w:multiLevelType w:val="multilevel"/>
    <w:tmpl w:val="BAF8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C74D2E"/>
    <w:multiLevelType w:val="multilevel"/>
    <w:tmpl w:val="31AA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0D6623"/>
    <w:multiLevelType w:val="multilevel"/>
    <w:tmpl w:val="374A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E40412"/>
    <w:multiLevelType w:val="multilevel"/>
    <w:tmpl w:val="A51EE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47381D"/>
    <w:multiLevelType w:val="multilevel"/>
    <w:tmpl w:val="C1020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28329F"/>
    <w:multiLevelType w:val="multilevel"/>
    <w:tmpl w:val="82B4A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57477A"/>
    <w:multiLevelType w:val="multilevel"/>
    <w:tmpl w:val="927E9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4E5148"/>
    <w:multiLevelType w:val="multilevel"/>
    <w:tmpl w:val="F542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7B72B5"/>
    <w:multiLevelType w:val="multilevel"/>
    <w:tmpl w:val="BADA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0"/>
  </w:num>
  <w:num w:numId="4">
    <w:abstractNumId w:val="10"/>
  </w:num>
  <w:num w:numId="5">
    <w:abstractNumId w:val="17"/>
  </w:num>
  <w:num w:numId="6">
    <w:abstractNumId w:val="16"/>
  </w:num>
  <w:num w:numId="7">
    <w:abstractNumId w:val="18"/>
  </w:num>
  <w:num w:numId="8">
    <w:abstractNumId w:val="4"/>
  </w:num>
  <w:num w:numId="9">
    <w:abstractNumId w:val="13"/>
  </w:num>
  <w:num w:numId="10">
    <w:abstractNumId w:val="7"/>
  </w:num>
  <w:num w:numId="11">
    <w:abstractNumId w:val="15"/>
  </w:num>
  <w:num w:numId="12">
    <w:abstractNumId w:val="14"/>
  </w:num>
  <w:num w:numId="13">
    <w:abstractNumId w:val="11"/>
  </w:num>
  <w:num w:numId="14">
    <w:abstractNumId w:val="20"/>
  </w:num>
  <w:num w:numId="15">
    <w:abstractNumId w:val="9"/>
  </w:num>
  <w:num w:numId="16">
    <w:abstractNumId w:val="5"/>
  </w:num>
  <w:num w:numId="17">
    <w:abstractNumId w:val="19"/>
  </w:num>
  <w:num w:numId="18">
    <w:abstractNumId w:val="6"/>
  </w:num>
  <w:num w:numId="19">
    <w:abstractNumId w:val="2"/>
  </w:num>
  <w:num w:numId="20">
    <w:abstractNumId w:val="3"/>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03106"/>
    <w:rsid w:val="00126B2F"/>
    <w:rsid w:val="0013432B"/>
    <w:rsid w:val="00147AA5"/>
    <w:rsid w:val="00207399"/>
    <w:rsid w:val="00212730"/>
    <w:rsid w:val="003732A6"/>
    <w:rsid w:val="00411FE8"/>
    <w:rsid w:val="00573320"/>
    <w:rsid w:val="006A4FAF"/>
    <w:rsid w:val="006C51E1"/>
    <w:rsid w:val="006D73B6"/>
    <w:rsid w:val="006E4F6C"/>
    <w:rsid w:val="006F7876"/>
    <w:rsid w:val="007912C2"/>
    <w:rsid w:val="0079391F"/>
    <w:rsid w:val="00855CD2"/>
    <w:rsid w:val="00883DCD"/>
    <w:rsid w:val="008C3235"/>
    <w:rsid w:val="008E2113"/>
    <w:rsid w:val="00915196"/>
    <w:rsid w:val="00953BFE"/>
    <w:rsid w:val="00A75841"/>
    <w:rsid w:val="00A95944"/>
    <w:rsid w:val="00C71B59"/>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7912C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4">
    <w:name w:val="heading 4"/>
    <w:basedOn w:val="Normale"/>
    <w:link w:val="Titolo4Carattere"/>
    <w:uiPriority w:val="9"/>
    <w:qFormat/>
    <w:rsid w:val="007912C2"/>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FSWorkitem2">
    <w:name w:val="TFS Workitem 2"/>
    <w:next w:val="Normale"/>
    <w:rsid w:val="007912C2"/>
    <w:pPr>
      <w:keepNext/>
      <w:widowControl w:val="0"/>
      <w:spacing w:after="0" w:line="240" w:lineRule="auto"/>
      <w:outlineLvl w:val="1"/>
    </w:pPr>
    <w:rPr>
      <w:rFonts w:ascii="Arial" w:eastAsiaTheme="minorEastAsia" w:hAnsi="Arial"/>
      <w:color w:val="FFFFFF" w:themeColor="background1"/>
      <w:sz w:val="2"/>
      <w:lang w:eastAsia="it-IT"/>
    </w:rPr>
  </w:style>
  <w:style w:type="character" w:customStyle="1" w:styleId="Titolo2Carattere">
    <w:name w:val="Titolo 2 Carattere"/>
    <w:basedOn w:val="Carpredefinitoparagrafo"/>
    <w:link w:val="Titolo2"/>
    <w:uiPriority w:val="9"/>
    <w:rsid w:val="007912C2"/>
    <w:rPr>
      <w:rFonts w:ascii="Times New Roman" w:eastAsia="Times New Roman" w:hAnsi="Times New Roman" w:cs="Times New Roman"/>
      <w:b/>
      <w:bCs/>
      <w:sz w:val="36"/>
      <w:szCs w:val="36"/>
      <w:lang w:eastAsia="it-IT"/>
    </w:rPr>
  </w:style>
  <w:style w:type="character" w:customStyle="1" w:styleId="Titolo4Carattere">
    <w:name w:val="Titolo 4 Carattere"/>
    <w:basedOn w:val="Carpredefinitoparagrafo"/>
    <w:link w:val="Titolo4"/>
    <w:uiPriority w:val="9"/>
    <w:rsid w:val="007912C2"/>
    <w:rPr>
      <w:rFonts w:ascii="Times New Roman" w:eastAsia="Times New Roman" w:hAnsi="Times New Roman" w:cs="Times New Roman"/>
      <w:b/>
      <w:bCs/>
      <w:sz w:val="24"/>
      <w:szCs w:val="24"/>
      <w:lang w:eastAsia="it-IT"/>
    </w:rPr>
  </w:style>
  <w:style w:type="character" w:styleId="Rimandocommento">
    <w:name w:val="annotation reference"/>
    <w:basedOn w:val="Carpredefinitoparagrafo"/>
    <w:uiPriority w:val="99"/>
    <w:semiHidden/>
    <w:unhideWhenUsed/>
    <w:rsid w:val="007912C2"/>
  </w:style>
  <w:style w:type="paragraph" w:styleId="Testonormale">
    <w:name w:val="Plain Text"/>
    <w:basedOn w:val="Normale"/>
    <w:link w:val="TestonormaleCarattere"/>
    <w:uiPriority w:val="99"/>
    <w:semiHidden/>
    <w:unhideWhenUsed/>
    <w:rsid w:val="007912C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stonormaleCarattere">
    <w:name w:val="Testo normale Carattere"/>
    <w:basedOn w:val="Carpredefinitoparagrafo"/>
    <w:link w:val="Testonormale"/>
    <w:uiPriority w:val="99"/>
    <w:semiHidden/>
    <w:rsid w:val="007912C2"/>
    <w:rPr>
      <w:rFonts w:ascii="Times New Roman" w:eastAsia="Times New Roman" w:hAnsi="Times New Roman" w:cs="Times New Roman"/>
      <w:sz w:val="24"/>
      <w:szCs w:val="24"/>
      <w:lang w:eastAsia="it-IT"/>
    </w:rPr>
  </w:style>
  <w:style w:type="paragraph" w:customStyle="1" w:styleId="style1">
    <w:name w:val="style1"/>
    <w:basedOn w:val="Normale"/>
    <w:rsid w:val="007912C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commento">
    <w:name w:val="annotation text"/>
    <w:basedOn w:val="Normale"/>
    <w:link w:val="TestocommentoCarattere"/>
    <w:uiPriority w:val="99"/>
    <w:semiHidden/>
    <w:unhideWhenUsed/>
    <w:rsid w:val="007912C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stocommentoCarattere">
    <w:name w:val="Testo commento Carattere"/>
    <w:basedOn w:val="Carpredefinitoparagrafo"/>
    <w:link w:val="Testocommento"/>
    <w:uiPriority w:val="99"/>
    <w:semiHidden/>
    <w:rsid w:val="007912C2"/>
    <w:rPr>
      <w:rFonts w:ascii="Times New Roman" w:eastAsia="Times New Roman" w:hAnsi="Times New Roman" w:cs="Times New Roman"/>
      <w:sz w:val="24"/>
      <w:szCs w:val="24"/>
      <w:lang w:eastAsia="it-IT"/>
    </w:rPr>
  </w:style>
  <w:style w:type="character" w:styleId="Rimandonotaapidipagina">
    <w:name w:val="footnote reference"/>
    <w:basedOn w:val="Carpredefinitoparagrafo"/>
    <w:uiPriority w:val="99"/>
    <w:semiHidden/>
    <w:unhideWhenUsed/>
    <w:rsid w:val="007912C2"/>
  </w:style>
  <w:style w:type="paragraph" w:styleId="Testonotaapidipagina">
    <w:name w:val="footnote text"/>
    <w:basedOn w:val="Normale"/>
    <w:link w:val="TestonotaapidipaginaCarattere"/>
    <w:uiPriority w:val="99"/>
    <w:semiHidden/>
    <w:unhideWhenUsed/>
    <w:rsid w:val="007912C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stonotaapidipaginaCarattere">
    <w:name w:val="Testo nota a piè di pagina Carattere"/>
    <w:basedOn w:val="Carpredefinitoparagrafo"/>
    <w:link w:val="Testonotaapidipagina"/>
    <w:uiPriority w:val="99"/>
    <w:semiHidden/>
    <w:rsid w:val="007912C2"/>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3843511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22432882">
      <w:bodyDiv w:val="1"/>
      <w:marLeft w:val="0"/>
      <w:marRight w:val="0"/>
      <w:marTop w:val="0"/>
      <w:marBottom w:val="0"/>
      <w:divBdr>
        <w:top w:val="none" w:sz="0" w:space="0" w:color="auto"/>
        <w:left w:val="none" w:sz="0" w:space="0" w:color="auto"/>
        <w:bottom w:val="none" w:sz="0" w:space="0" w:color="auto"/>
        <w:right w:val="none" w:sz="0" w:space="0" w:color="auto"/>
      </w:divBdr>
    </w:div>
    <w:div w:id="132522752">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178933793">
      <w:bodyDiv w:val="1"/>
      <w:marLeft w:val="0"/>
      <w:marRight w:val="0"/>
      <w:marTop w:val="0"/>
      <w:marBottom w:val="0"/>
      <w:divBdr>
        <w:top w:val="none" w:sz="0" w:space="0" w:color="auto"/>
        <w:left w:val="none" w:sz="0" w:space="0" w:color="auto"/>
        <w:bottom w:val="none" w:sz="0" w:space="0" w:color="auto"/>
        <w:right w:val="none" w:sz="0" w:space="0" w:color="auto"/>
      </w:divBdr>
      <w:divsChild>
        <w:div w:id="940142222">
          <w:marLeft w:val="0"/>
          <w:marRight w:val="0"/>
          <w:marTop w:val="0"/>
          <w:marBottom w:val="0"/>
          <w:divBdr>
            <w:top w:val="none" w:sz="0" w:space="0" w:color="auto"/>
            <w:left w:val="none" w:sz="0" w:space="0" w:color="auto"/>
            <w:bottom w:val="none" w:sz="0" w:space="0" w:color="auto"/>
            <w:right w:val="none" w:sz="0" w:space="0" w:color="auto"/>
          </w:divBdr>
        </w:div>
        <w:div w:id="1571235021">
          <w:marLeft w:val="0"/>
          <w:marRight w:val="0"/>
          <w:marTop w:val="0"/>
          <w:marBottom w:val="0"/>
          <w:divBdr>
            <w:top w:val="none" w:sz="0" w:space="0" w:color="auto"/>
            <w:left w:val="none" w:sz="0" w:space="0" w:color="auto"/>
            <w:bottom w:val="none" w:sz="0" w:space="0" w:color="auto"/>
            <w:right w:val="none" w:sz="0" w:space="0" w:color="auto"/>
          </w:divBdr>
        </w:div>
        <w:div w:id="1863392930">
          <w:marLeft w:val="0"/>
          <w:marRight w:val="0"/>
          <w:marTop w:val="0"/>
          <w:marBottom w:val="0"/>
          <w:divBdr>
            <w:top w:val="none" w:sz="0" w:space="0" w:color="auto"/>
            <w:left w:val="none" w:sz="0" w:space="0" w:color="auto"/>
            <w:bottom w:val="none" w:sz="0" w:space="0" w:color="auto"/>
            <w:right w:val="none" w:sz="0" w:space="0" w:color="auto"/>
          </w:divBdr>
        </w:div>
        <w:div w:id="1336882960">
          <w:marLeft w:val="0"/>
          <w:marRight w:val="0"/>
          <w:marTop w:val="0"/>
          <w:marBottom w:val="0"/>
          <w:divBdr>
            <w:top w:val="none" w:sz="0" w:space="0" w:color="auto"/>
            <w:left w:val="none" w:sz="0" w:space="0" w:color="auto"/>
            <w:bottom w:val="none" w:sz="0" w:space="0" w:color="auto"/>
            <w:right w:val="none" w:sz="0" w:space="0" w:color="auto"/>
          </w:divBdr>
        </w:div>
        <w:div w:id="2107575896">
          <w:marLeft w:val="0"/>
          <w:marRight w:val="0"/>
          <w:marTop w:val="0"/>
          <w:marBottom w:val="0"/>
          <w:divBdr>
            <w:top w:val="none" w:sz="0" w:space="0" w:color="auto"/>
            <w:left w:val="none" w:sz="0" w:space="0" w:color="auto"/>
            <w:bottom w:val="none" w:sz="0" w:space="0" w:color="auto"/>
            <w:right w:val="none" w:sz="0" w:space="0" w:color="auto"/>
          </w:divBdr>
        </w:div>
        <w:div w:id="1602950519">
          <w:marLeft w:val="0"/>
          <w:marRight w:val="0"/>
          <w:marTop w:val="0"/>
          <w:marBottom w:val="0"/>
          <w:divBdr>
            <w:top w:val="none" w:sz="0" w:space="0" w:color="auto"/>
            <w:left w:val="none" w:sz="0" w:space="0" w:color="auto"/>
            <w:bottom w:val="none" w:sz="0" w:space="0" w:color="auto"/>
            <w:right w:val="none" w:sz="0" w:space="0" w:color="auto"/>
          </w:divBdr>
        </w:div>
        <w:div w:id="2095083863">
          <w:marLeft w:val="0"/>
          <w:marRight w:val="0"/>
          <w:marTop w:val="0"/>
          <w:marBottom w:val="0"/>
          <w:divBdr>
            <w:top w:val="none" w:sz="0" w:space="0" w:color="auto"/>
            <w:left w:val="none" w:sz="0" w:space="0" w:color="auto"/>
            <w:bottom w:val="none" w:sz="0" w:space="0" w:color="auto"/>
            <w:right w:val="none" w:sz="0" w:space="0" w:color="auto"/>
          </w:divBdr>
        </w:div>
        <w:div w:id="1091655948">
          <w:marLeft w:val="0"/>
          <w:marRight w:val="0"/>
          <w:marTop w:val="0"/>
          <w:marBottom w:val="0"/>
          <w:divBdr>
            <w:top w:val="none" w:sz="0" w:space="0" w:color="auto"/>
            <w:left w:val="none" w:sz="0" w:space="0" w:color="auto"/>
            <w:bottom w:val="none" w:sz="0" w:space="0" w:color="auto"/>
            <w:right w:val="none" w:sz="0" w:space="0" w:color="auto"/>
          </w:divBdr>
        </w:div>
        <w:div w:id="1093893347">
          <w:marLeft w:val="0"/>
          <w:marRight w:val="0"/>
          <w:marTop w:val="0"/>
          <w:marBottom w:val="0"/>
          <w:divBdr>
            <w:top w:val="none" w:sz="0" w:space="0" w:color="auto"/>
            <w:left w:val="none" w:sz="0" w:space="0" w:color="auto"/>
            <w:bottom w:val="none" w:sz="0" w:space="0" w:color="auto"/>
            <w:right w:val="none" w:sz="0" w:space="0" w:color="auto"/>
          </w:divBdr>
        </w:div>
        <w:div w:id="1189492534">
          <w:marLeft w:val="0"/>
          <w:marRight w:val="0"/>
          <w:marTop w:val="0"/>
          <w:marBottom w:val="0"/>
          <w:divBdr>
            <w:top w:val="none" w:sz="0" w:space="0" w:color="auto"/>
            <w:left w:val="none" w:sz="0" w:space="0" w:color="auto"/>
            <w:bottom w:val="none" w:sz="0" w:space="0" w:color="auto"/>
            <w:right w:val="none" w:sz="0" w:space="0" w:color="auto"/>
          </w:divBdr>
        </w:div>
        <w:div w:id="961766073">
          <w:marLeft w:val="0"/>
          <w:marRight w:val="0"/>
          <w:marTop w:val="0"/>
          <w:marBottom w:val="0"/>
          <w:divBdr>
            <w:top w:val="none" w:sz="0" w:space="0" w:color="auto"/>
            <w:left w:val="none" w:sz="0" w:space="0" w:color="auto"/>
            <w:bottom w:val="none" w:sz="0" w:space="0" w:color="auto"/>
            <w:right w:val="none" w:sz="0" w:space="0" w:color="auto"/>
          </w:divBdr>
        </w:div>
        <w:div w:id="1730573254">
          <w:marLeft w:val="0"/>
          <w:marRight w:val="0"/>
          <w:marTop w:val="0"/>
          <w:marBottom w:val="0"/>
          <w:divBdr>
            <w:top w:val="none" w:sz="0" w:space="0" w:color="auto"/>
            <w:left w:val="none" w:sz="0" w:space="0" w:color="auto"/>
            <w:bottom w:val="none" w:sz="0" w:space="0" w:color="auto"/>
            <w:right w:val="none" w:sz="0" w:space="0" w:color="auto"/>
          </w:divBdr>
        </w:div>
        <w:div w:id="301230010">
          <w:marLeft w:val="0"/>
          <w:marRight w:val="0"/>
          <w:marTop w:val="0"/>
          <w:marBottom w:val="0"/>
          <w:divBdr>
            <w:top w:val="none" w:sz="0" w:space="0" w:color="auto"/>
            <w:left w:val="none" w:sz="0" w:space="0" w:color="auto"/>
            <w:bottom w:val="none" w:sz="0" w:space="0" w:color="auto"/>
            <w:right w:val="none" w:sz="0" w:space="0" w:color="auto"/>
          </w:divBdr>
        </w:div>
        <w:div w:id="1849518523">
          <w:marLeft w:val="0"/>
          <w:marRight w:val="0"/>
          <w:marTop w:val="0"/>
          <w:marBottom w:val="0"/>
          <w:divBdr>
            <w:top w:val="none" w:sz="0" w:space="0" w:color="auto"/>
            <w:left w:val="none" w:sz="0" w:space="0" w:color="auto"/>
            <w:bottom w:val="none" w:sz="0" w:space="0" w:color="auto"/>
            <w:right w:val="none" w:sz="0" w:space="0" w:color="auto"/>
          </w:divBdr>
        </w:div>
        <w:div w:id="1064258693">
          <w:marLeft w:val="0"/>
          <w:marRight w:val="0"/>
          <w:marTop w:val="0"/>
          <w:marBottom w:val="0"/>
          <w:divBdr>
            <w:top w:val="none" w:sz="0" w:space="0" w:color="auto"/>
            <w:left w:val="none" w:sz="0" w:space="0" w:color="auto"/>
            <w:bottom w:val="none" w:sz="0" w:space="0" w:color="auto"/>
            <w:right w:val="none" w:sz="0" w:space="0" w:color="auto"/>
          </w:divBdr>
        </w:div>
        <w:div w:id="543832538">
          <w:marLeft w:val="0"/>
          <w:marRight w:val="0"/>
          <w:marTop w:val="0"/>
          <w:marBottom w:val="0"/>
          <w:divBdr>
            <w:top w:val="none" w:sz="0" w:space="0" w:color="auto"/>
            <w:left w:val="none" w:sz="0" w:space="0" w:color="auto"/>
            <w:bottom w:val="none" w:sz="0" w:space="0" w:color="auto"/>
            <w:right w:val="none" w:sz="0" w:space="0" w:color="auto"/>
          </w:divBdr>
        </w:div>
      </w:divsChild>
    </w:div>
    <w:div w:id="182477061">
      <w:bodyDiv w:val="1"/>
      <w:marLeft w:val="0"/>
      <w:marRight w:val="0"/>
      <w:marTop w:val="0"/>
      <w:marBottom w:val="0"/>
      <w:divBdr>
        <w:top w:val="none" w:sz="0" w:space="0" w:color="auto"/>
        <w:left w:val="none" w:sz="0" w:space="0" w:color="auto"/>
        <w:bottom w:val="none" w:sz="0" w:space="0" w:color="auto"/>
        <w:right w:val="none" w:sz="0" w:space="0" w:color="auto"/>
      </w:divBdr>
      <w:divsChild>
        <w:div w:id="43260720">
          <w:marLeft w:val="0"/>
          <w:marRight w:val="0"/>
          <w:marTop w:val="0"/>
          <w:marBottom w:val="0"/>
          <w:divBdr>
            <w:top w:val="none" w:sz="0" w:space="0" w:color="auto"/>
            <w:left w:val="none" w:sz="0" w:space="0" w:color="auto"/>
            <w:bottom w:val="none" w:sz="0" w:space="0" w:color="auto"/>
            <w:right w:val="none" w:sz="0" w:space="0" w:color="auto"/>
          </w:divBdr>
        </w:div>
        <w:div w:id="276372312">
          <w:marLeft w:val="0"/>
          <w:marRight w:val="0"/>
          <w:marTop w:val="0"/>
          <w:marBottom w:val="0"/>
          <w:divBdr>
            <w:top w:val="none" w:sz="0" w:space="0" w:color="auto"/>
            <w:left w:val="none" w:sz="0" w:space="0" w:color="auto"/>
            <w:bottom w:val="none" w:sz="0" w:space="0" w:color="auto"/>
            <w:right w:val="none" w:sz="0" w:space="0" w:color="auto"/>
          </w:divBdr>
        </w:div>
        <w:div w:id="268899761">
          <w:marLeft w:val="0"/>
          <w:marRight w:val="0"/>
          <w:marTop w:val="0"/>
          <w:marBottom w:val="0"/>
          <w:divBdr>
            <w:top w:val="none" w:sz="0" w:space="0" w:color="auto"/>
            <w:left w:val="none" w:sz="0" w:space="0" w:color="auto"/>
            <w:bottom w:val="none" w:sz="0" w:space="0" w:color="auto"/>
            <w:right w:val="none" w:sz="0" w:space="0" w:color="auto"/>
          </w:divBdr>
        </w:div>
        <w:div w:id="858785863">
          <w:marLeft w:val="0"/>
          <w:marRight w:val="0"/>
          <w:marTop w:val="0"/>
          <w:marBottom w:val="0"/>
          <w:divBdr>
            <w:top w:val="none" w:sz="0" w:space="0" w:color="auto"/>
            <w:left w:val="none" w:sz="0" w:space="0" w:color="auto"/>
            <w:bottom w:val="none" w:sz="0" w:space="0" w:color="auto"/>
            <w:right w:val="none" w:sz="0" w:space="0" w:color="auto"/>
          </w:divBdr>
        </w:div>
        <w:div w:id="363141360">
          <w:marLeft w:val="0"/>
          <w:marRight w:val="0"/>
          <w:marTop w:val="0"/>
          <w:marBottom w:val="0"/>
          <w:divBdr>
            <w:top w:val="none" w:sz="0" w:space="0" w:color="auto"/>
            <w:left w:val="none" w:sz="0" w:space="0" w:color="auto"/>
            <w:bottom w:val="none" w:sz="0" w:space="0" w:color="auto"/>
            <w:right w:val="none" w:sz="0" w:space="0" w:color="auto"/>
          </w:divBdr>
        </w:div>
        <w:div w:id="825904448">
          <w:marLeft w:val="0"/>
          <w:marRight w:val="0"/>
          <w:marTop w:val="0"/>
          <w:marBottom w:val="0"/>
          <w:divBdr>
            <w:top w:val="none" w:sz="0" w:space="0" w:color="auto"/>
            <w:left w:val="none" w:sz="0" w:space="0" w:color="auto"/>
            <w:bottom w:val="none" w:sz="0" w:space="0" w:color="auto"/>
            <w:right w:val="none" w:sz="0" w:space="0" w:color="auto"/>
          </w:divBdr>
        </w:div>
        <w:div w:id="929506206">
          <w:marLeft w:val="0"/>
          <w:marRight w:val="0"/>
          <w:marTop w:val="0"/>
          <w:marBottom w:val="0"/>
          <w:divBdr>
            <w:top w:val="none" w:sz="0" w:space="0" w:color="auto"/>
            <w:left w:val="none" w:sz="0" w:space="0" w:color="auto"/>
            <w:bottom w:val="none" w:sz="0" w:space="0" w:color="auto"/>
            <w:right w:val="none" w:sz="0" w:space="0" w:color="auto"/>
          </w:divBdr>
        </w:div>
        <w:div w:id="1734695955">
          <w:marLeft w:val="0"/>
          <w:marRight w:val="0"/>
          <w:marTop w:val="0"/>
          <w:marBottom w:val="0"/>
          <w:divBdr>
            <w:top w:val="none" w:sz="0" w:space="0" w:color="auto"/>
            <w:left w:val="none" w:sz="0" w:space="0" w:color="auto"/>
            <w:bottom w:val="none" w:sz="0" w:space="0" w:color="auto"/>
            <w:right w:val="none" w:sz="0" w:space="0" w:color="auto"/>
          </w:divBdr>
        </w:div>
        <w:div w:id="1598557484">
          <w:marLeft w:val="0"/>
          <w:marRight w:val="0"/>
          <w:marTop w:val="0"/>
          <w:marBottom w:val="0"/>
          <w:divBdr>
            <w:top w:val="none" w:sz="0" w:space="0" w:color="auto"/>
            <w:left w:val="none" w:sz="0" w:space="0" w:color="auto"/>
            <w:bottom w:val="none" w:sz="0" w:space="0" w:color="auto"/>
            <w:right w:val="none" w:sz="0" w:space="0" w:color="auto"/>
          </w:divBdr>
        </w:div>
        <w:div w:id="1536389160">
          <w:marLeft w:val="0"/>
          <w:marRight w:val="0"/>
          <w:marTop w:val="0"/>
          <w:marBottom w:val="0"/>
          <w:divBdr>
            <w:top w:val="none" w:sz="0" w:space="0" w:color="auto"/>
            <w:left w:val="none" w:sz="0" w:space="0" w:color="auto"/>
            <w:bottom w:val="none" w:sz="0" w:space="0" w:color="auto"/>
            <w:right w:val="none" w:sz="0" w:space="0" w:color="auto"/>
          </w:divBdr>
        </w:div>
        <w:div w:id="1643803604">
          <w:marLeft w:val="0"/>
          <w:marRight w:val="0"/>
          <w:marTop w:val="0"/>
          <w:marBottom w:val="0"/>
          <w:divBdr>
            <w:top w:val="none" w:sz="0" w:space="0" w:color="auto"/>
            <w:left w:val="none" w:sz="0" w:space="0" w:color="auto"/>
            <w:bottom w:val="none" w:sz="0" w:space="0" w:color="auto"/>
            <w:right w:val="none" w:sz="0" w:space="0" w:color="auto"/>
          </w:divBdr>
        </w:div>
        <w:div w:id="886841649">
          <w:marLeft w:val="0"/>
          <w:marRight w:val="0"/>
          <w:marTop w:val="0"/>
          <w:marBottom w:val="0"/>
          <w:divBdr>
            <w:top w:val="none" w:sz="0" w:space="0" w:color="auto"/>
            <w:left w:val="none" w:sz="0" w:space="0" w:color="auto"/>
            <w:bottom w:val="none" w:sz="0" w:space="0" w:color="auto"/>
            <w:right w:val="none" w:sz="0" w:space="0" w:color="auto"/>
          </w:divBdr>
        </w:div>
        <w:div w:id="1618411557">
          <w:marLeft w:val="0"/>
          <w:marRight w:val="0"/>
          <w:marTop w:val="0"/>
          <w:marBottom w:val="0"/>
          <w:divBdr>
            <w:top w:val="none" w:sz="0" w:space="0" w:color="auto"/>
            <w:left w:val="none" w:sz="0" w:space="0" w:color="auto"/>
            <w:bottom w:val="none" w:sz="0" w:space="0" w:color="auto"/>
            <w:right w:val="none" w:sz="0" w:space="0" w:color="auto"/>
          </w:divBdr>
        </w:div>
      </w:divsChild>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3762702">
      <w:bodyDiv w:val="1"/>
      <w:marLeft w:val="0"/>
      <w:marRight w:val="0"/>
      <w:marTop w:val="0"/>
      <w:marBottom w:val="0"/>
      <w:divBdr>
        <w:top w:val="none" w:sz="0" w:space="0" w:color="auto"/>
        <w:left w:val="none" w:sz="0" w:space="0" w:color="auto"/>
        <w:bottom w:val="none" w:sz="0" w:space="0" w:color="auto"/>
        <w:right w:val="none" w:sz="0" w:space="0" w:color="auto"/>
      </w:divBdr>
      <w:divsChild>
        <w:div w:id="1870295298">
          <w:marLeft w:val="0"/>
          <w:marRight w:val="0"/>
          <w:marTop w:val="0"/>
          <w:marBottom w:val="0"/>
          <w:divBdr>
            <w:top w:val="none" w:sz="0" w:space="0" w:color="auto"/>
            <w:left w:val="none" w:sz="0" w:space="0" w:color="auto"/>
            <w:bottom w:val="none" w:sz="0" w:space="0" w:color="auto"/>
            <w:right w:val="none" w:sz="0" w:space="0" w:color="auto"/>
          </w:divBdr>
        </w:div>
        <w:div w:id="17121254">
          <w:marLeft w:val="0"/>
          <w:marRight w:val="0"/>
          <w:marTop w:val="0"/>
          <w:marBottom w:val="0"/>
          <w:divBdr>
            <w:top w:val="none" w:sz="0" w:space="0" w:color="auto"/>
            <w:left w:val="none" w:sz="0" w:space="0" w:color="auto"/>
            <w:bottom w:val="none" w:sz="0" w:space="0" w:color="auto"/>
            <w:right w:val="none" w:sz="0" w:space="0" w:color="auto"/>
          </w:divBdr>
        </w:div>
        <w:div w:id="1800881161">
          <w:marLeft w:val="0"/>
          <w:marRight w:val="0"/>
          <w:marTop w:val="0"/>
          <w:marBottom w:val="0"/>
          <w:divBdr>
            <w:top w:val="none" w:sz="0" w:space="0" w:color="auto"/>
            <w:left w:val="none" w:sz="0" w:space="0" w:color="auto"/>
            <w:bottom w:val="none" w:sz="0" w:space="0" w:color="auto"/>
            <w:right w:val="none" w:sz="0" w:space="0" w:color="auto"/>
          </w:divBdr>
        </w:div>
        <w:div w:id="388043643">
          <w:marLeft w:val="0"/>
          <w:marRight w:val="0"/>
          <w:marTop w:val="0"/>
          <w:marBottom w:val="0"/>
          <w:divBdr>
            <w:top w:val="none" w:sz="0" w:space="0" w:color="auto"/>
            <w:left w:val="none" w:sz="0" w:space="0" w:color="auto"/>
            <w:bottom w:val="none" w:sz="0" w:space="0" w:color="auto"/>
            <w:right w:val="none" w:sz="0" w:space="0" w:color="auto"/>
          </w:divBdr>
        </w:div>
        <w:div w:id="1739353396">
          <w:marLeft w:val="0"/>
          <w:marRight w:val="0"/>
          <w:marTop w:val="0"/>
          <w:marBottom w:val="0"/>
          <w:divBdr>
            <w:top w:val="none" w:sz="0" w:space="0" w:color="auto"/>
            <w:left w:val="none" w:sz="0" w:space="0" w:color="auto"/>
            <w:bottom w:val="none" w:sz="0" w:space="0" w:color="auto"/>
            <w:right w:val="none" w:sz="0" w:space="0" w:color="auto"/>
          </w:divBdr>
        </w:div>
        <w:div w:id="112402803">
          <w:marLeft w:val="0"/>
          <w:marRight w:val="0"/>
          <w:marTop w:val="0"/>
          <w:marBottom w:val="0"/>
          <w:divBdr>
            <w:top w:val="none" w:sz="0" w:space="0" w:color="auto"/>
            <w:left w:val="none" w:sz="0" w:space="0" w:color="auto"/>
            <w:bottom w:val="none" w:sz="0" w:space="0" w:color="auto"/>
            <w:right w:val="none" w:sz="0" w:space="0" w:color="auto"/>
          </w:divBdr>
        </w:div>
        <w:div w:id="967779301">
          <w:marLeft w:val="0"/>
          <w:marRight w:val="0"/>
          <w:marTop w:val="0"/>
          <w:marBottom w:val="0"/>
          <w:divBdr>
            <w:top w:val="none" w:sz="0" w:space="0" w:color="auto"/>
            <w:left w:val="none" w:sz="0" w:space="0" w:color="auto"/>
            <w:bottom w:val="none" w:sz="0" w:space="0" w:color="auto"/>
            <w:right w:val="none" w:sz="0" w:space="0" w:color="auto"/>
          </w:divBdr>
          <w:divsChild>
            <w:div w:id="1435173405">
              <w:marLeft w:val="0"/>
              <w:marRight w:val="0"/>
              <w:marTop w:val="0"/>
              <w:marBottom w:val="0"/>
              <w:divBdr>
                <w:top w:val="none" w:sz="0" w:space="0" w:color="auto"/>
                <w:left w:val="none" w:sz="0" w:space="0" w:color="auto"/>
                <w:bottom w:val="none" w:sz="0" w:space="0" w:color="auto"/>
                <w:right w:val="none" w:sz="0" w:space="0" w:color="auto"/>
              </w:divBdr>
            </w:div>
            <w:div w:id="311714575">
              <w:marLeft w:val="0"/>
              <w:marRight w:val="0"/>
              <w:marTop w:val="0"/>
              <w:marBottom w:val="0"/>
              <w:divBdr>
                <w:top w:val="none" w:sz="0" w:space="0" w:color="auto"/>
                <w:left w:val="none" w:sz="0" w:space="0" w:color="auto"/>
                <w:bottom w:val="none" w:sz="0" w:space="0" w:color="auto"/>
                <w:right w:val="none" w:sz="0" w:space="0" w:color="auto"/>
              </w:divBdr>
            </w:div>
            <w:div w:id="1231381620">
              <w:marLeft w:val="0"/>
              <w:marRight w:val="0"/>
              <w:marTop w:val="0"/>
              <w:marBottom w:val="0"/>
              <w:divBdr>
                <w:top w:val="none" w:sz="0" w:space="0" w:color="auto"/>
                <w:left w:val="none" w:sz="0" w:space="0" w:color="auto"/>
                <w:bottom w:val="none" w:sz="0" w:space="0" w:color="auto"/>
                <w:right w:val="none" w:sz="0" w:space="0" w:color="auto"/>
              </w:divBdr>
            </w:div>
            <w:div w:id="15464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21856790">
      <w:bodyDiv w:val="1"/>
      <w:marLeft w:val="0"/>
      <w:marRight w:val="0"/>
      <w:marTop w:val="0"/>
      <w:marBottom w:val="0"/>
      <w:divBdr>
        <w:top w:val="none" w:sz="0" w:space="0" w:color="auto"/>
        <w:left w:val="none" w:sz="0" w:space="0" w:color="auto"/>
        <w:bottom w:val="none" w:sz="0" w:space="0" w:color="auto"/>
        <w:right w:val="none" w:sz="0" w:space="0" w:color="auto"/>
      </w:divBdr>
      <w:divsChild>
        <w:div w:id="1884632941">
          <w:marLeft w:val="0"/>
          <w:marRight w:val="0"/>
          <w:marTop w:val="0"/>
          <w:marBottom w:val="0"/>
          <w:divBdr>
            <w:top w:val="none" w:sz="0" w:space="0" w:color="auto"/>
            <w:left w:val="none" w:sz="0" w:space="0" w:color="auto"/>
            <w:bottom w:val="none" w:sz="0" w:space="0" w:color="auto"/>
            <w:right w:val="none" w:sz="0" w:space="0" w:color="auto"/>
          </w:divBdr>
        </w:div>
        <w:div w:id="1754931732">
          <w:marLeft w:val="0"/>
          <w:marRight w:val="0"/>
          <w:marTop w:val="0"/>
          <w:marBottom w:val="0"/>
          <w:divBdr>
            <w:top w:val="none" w:sz="0" w:space="0" w:color="auto"/>
            <w:left w:val="none" w:sz="0" w:space="0" w:color="auto"/>
            <w:bottom w:val="none" w:sz="0" w:space="0" w:color="auto"/>
            <w:right w:val="none" w:sz="0" w:space="0" w:color="auto"/>
          </w:divBdr>
        </w:div>
        <w:div w:id="2080707214">
          <w:marLeft w:val="0"/>
          <w:marRight w:val="0"/>
          <w:marTop w:val="0"/>
          <w:marBottom w:val="0"/>
          <w:divBdr>
            <w:top w:val="none" w:sz="0" w:space="0" w:color="auto"/>
            <w:left w:val="none" w:sz="0" w:space="0" w:color="auto"/>
            <w:bottom w:val="none" w:sz="0" w:space="0" w:color="auto"/>
            <w:right w:val="none" w:sz="0" w:space="0" w:color="auto"/>
          </w:divBdr>
        </w:div>
        <w:div w:id="1688171073">
          <w:marLeft w:val="0"/>
          <w:marRight w:val="0"/>
          <w:marTop w:val="0"/>
          <w:marBottom w:val="0"/>
          <w:divBdr>
            <w:top w:val="none" w:sz="0" w:space="0" w:color="auto"/>
            <w:left w:val="none" w:sz="0" w:space="0" w:color="auto"/>
            <w:bottom w:val="none" w:sz="0" w:space="0" w:color="auto"/>
            <w:right w:val="none" w:sz="0" w:space="0" w:color="auto"/>
          </w:divBdr>
        </w:div>
        <w:div w:id="1346786578">
          <w:marLeft w:val="0"/>
          <w:marRight w:val="0"/>
          <w:marTop w:val="0"/>
          <w:marBottom w:val="0"/>
          <w:divBdr>
            <w:top w:val="none" w:sz="0" w:space="0" w:color="auto"/>
            <w:left w:val="none" w:sz="0" w:space="0" w:color="auto"/>
            <w:bottom w:val="none" w:sz="0" w:space="0" w:color="auto"/>
            <w:right w:val="none" w:sz="0" w:space="0" w:color="auto"/>
          </w:divBdr>
        </w:div>
        <w:div w:id="613904281">
          <w:marLeft w:val="0"/>
          <w:marRight w:val="0"/>
          <w:marTop w:val="0"/>
          <w:marBottom w:val="0"/>
          <w:divBdr>
            <w:top w:val="none" w:sz="0" w:space="0" w:color="auto"/>
            <w:left w:val="none" w:sz="0" w:space="0" w:color="auto"/>
            <w:bottom w:val="none" w:sz="0" w:space="0" w:color="auto"/>
            <w:right w:val="none" w:sz="0" w:space="0" w:color="auto"/>
          </w:divBdr>
        </w:div>
        <w:div w:id="1768967052">
          <w:marLeft w:val="0"/>
          <w:marRight w:val="0"/>
          <w:marTop w:val="0"/>
          <w:marBottom w:val="0"/>
          <w:divBdr>
            <w:top w:val="none" w:sz="0" w:space="0" w:color="auto"/>
            <w:left w:val="none" w:sz="0" w:space="0" w:color="auto"/>
            <w:bottom w:val="none" w:sz="0" w:space="0" w:color="auto"/>
            <w:right w:val="none" w:sz="0" w:space="0" w:color="auto"/>
          </w:divBdr>
        </w:div>
        <w:div w:id="1627001683">
          <w:marLeft w:val="0"/>
          <w:marRight w:val="0"/>
          <w:marTop w:val="0"/>
          <w:marBottom w:val="0"/>
          <w:divBdr>
            <w:top w:val="none" w:sz="0" w:space="0" w:color="auto"/>
            <w:left w:val="none" w:sz="0" w:space="0" w:color="auto"/>
            <w:bottom w:val="none" w:sz="0" w:space="0" w:color="auto"/>
            <w:right w:val="none" w:sz="0" w:space="0" w:color="auto"/>
          </w:divBdr>
        </w:div>
        <w:div w:id="1679962246">
          <w:marLeft w:val="0"/>
          <w:marRight w:val="0"/>
          <w:marTop w:val="0"/>
          <w:marBottom w:val="0"/>
          <w:divBdr>
            <w:top w:val="none" w:sz="0" w:space="0" w:color="auto"/>
            <w:left w:val="none" w:sz="0" w:space="0" w:color="auto"/>
            <w:bottom w:val="none" w:sz="0" w:space="0" w:color="auto"/>
            <w:right w:val="none" w:sz="0" w:space="0" w:color="auto"/>
          </w:divBdr>
        </w:div>
      </w:divsChild>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6886018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4250618">
      <w:bodyDiv w:val="1"/>
      <w:marLeft w:val="0"/>
      <w:marRight w:val="0"/>
      <w:marTop w:val="0"/>
      <w:marBottom w:val="0"/>
      <w:divBdr>
        <w:top w:val="none" w:sz="0" w:space="0" w:color="auto"/>
        <w:left w:val="none" w:sz="0" w:space="0" w:color="auto"/>
        <w:bottom w:val="none" w:sz="0" w:space="0" w:color="auto"/>
        <w:right w:val="none" w:sz="0" w:space="0" w:color="auto"/>
      </w:divBdr>
      <w:divsChild>
        <w:div w:id="1100877412">
          <w:marLeft w:val="0"/>
          <w:marRight w:val="0"/>
          <w:marTop w:val="0"/>
          <w:marBottom w:val="0"/>
          <w:divBdr>
            <w:top w:val="none" w:sz="0" w:space="0" w:color="auto"/>
            <w:left w:val="none" w:sz="0" w:space="0" w:color="auto"/>
            <w:bottom w:val="none" w:sz="0" w:space="0" w:color="auto"/>
            <w:right w:val="none" w:sz="0" w:space="0" w:color="auto"/>
          </w:divBdr>
        </w:div>
        <w:div w:id="252587681">
          <w:marLeft w:val="0"/>
          <w:marRight w:val="0"/>
          <w:marTop w:val="0"/>
          <w:marBottom w:val="0"/>
          <w:divBdr>
            <w:top w:val="none" w:sz="0" w:space="0" w:color="auto"/>
            <w:left w:val="none" w:sz="0" w:space="0" w:color="auto"/>
            <w:bottom w:val="none" w:sz="0" w:space="0" w:color="auto"/>
            <w:right w:val="none" w:sz="0" w:space="0" w:color="auto"/>
          </w:divBdr>
        </w:div>
        <w:div w:id="1697265500">
          <w:marLeft w:val="0"/>
          <w:marRight w:val="0"/>
          <w:marTop w:val="0"/>
          <w:marBottom w:val="0"/>
          <w:divBdr>
            <w:top w:val="none" w:sz="0" w:space="0" w:color="auto"/>
            <w:left w:val="none" w:sz="0" w:space="0" w:color="auto"/>
            <w:bottom w:val="none" w:sz="0" w:space="0" w:color="auto"/>
            <w:right w:val="none" w:sz="0" w:space="0" w:color="auto"/>
          </w:divBdr>
        </w:div>
        <w:div w:id="754588746">
          <w:marLeft w:val="0"/>
          <w:marRight w:val="0"/>
          <w:marTop w:val="0"/>
          <w:marBottom w:val="0"/>
          <w:divBdr>
            <w:top w:val="none" w:sz="0" w:space="0" w:color="auto"/>
            <w:left w:val="none" w:sz="0" w:space="0" w:color="auto"/>
            <w:bottom w:val="none" w:sz="0" w:space="0" w:color="auto"/>
            <w:right w:val="none" w:sz="0" w:space="0" w:color="auto"/>
          </w:divBdr>
          <w:divsChild>
            <w:div w:id="1842425418">
              <w:marLeft w:val="0"/>
              <w:marRight w:val="0"/>
              <w:marTop w:val="0"/>
              <w:marBottom w:val="0"/>
              <w:divBdr>
                <w:top w:val="none" w:sz="0" w:space="0" w:color="auto"/>
                <w:left w:val="none" w:sz="0" w:space="0" w:color="auto"/>
                <w:bottom w:val="none" w:sz="0" w:space="0" w:color="auto"/>
                <w:right w:val="none" w:sz="0" w:space="0" w:color="auto"/>
              </w:divBdr>
            </w:div>
            <w:div w:id="1707869935">
              <w:marLeft w:val="0"/>
              <w:marRight w:val="0"/>
              <w:marTop w:val="0"/>
              <w:marBottom w:val="0"/>
              <w:divBdr>
                <w:top w:val="none" w:sz="0" w:space="0" w:color="auto"/>
                <w:left w:val="none" w:sz="0" w:space="0" w:color="auto"/>
                <w:bottom w:val="none" w:sz="0" w:space="0" w:color="auto"/>
                <w:right w:val="none" w:sz="0" w:space="0" w:color="auto"/>
              </w:divBdr>
            </w:div>
            <w:div w:id="46614396">
              <w:marLeft w:val="0"/>
              <w:marRight w:val="0"/>
              <w:marTop w:val="0"/>
              <w:marBottom w:val="0"/>
              <w:divBdr>
                <w:top w:val="none" w:sz="0" w:space="0" w:color="auto"/>
                <w:left w:val="none" w:sz="0" w:space="0" w:color="auto"/>
                <w:bottom w:val="none" w:sz="0" w:space="0" w:color="auto"/>
                <w:right w:val="none" w:sz="0" w:space="0" w:color="auto"/>
              </w:divBdr>
            </w:div>
            <w:div w:id="63917700">
              <w:marLeft w:val="0"/>
              <w:marRight w:val="0"/>
              <w:marTop w:val="0"/>
              <w:marBottom w:val="0"/>
              <w:divBdr>
                <w:top w:val="none" w:sz="0" w:space="0" w:color="auto"/>
                <w:left w:val="none" w:sz="0" w:space="0" w:color="auto"/>
                <w:bottom w:val="none" w:sz="0" w:space="0" w:color="auto"/>
                <w:right w:val="none" w:sz="0" w:space="0" w:color="auto"/>
              </w:divBdr>
            </w:div>
          </w:divsChild>
        </w:div>
        <w:div w:id="1690914198">
          <w:marLeft w:val="0"/>
          <w:marRight w:val="0"/>
          <w:marTop w:val="0"/>
          <w:marBottom w:val="0"/>
          <w:divBdr>
            <w:top w:val="none" w:sz="0" w:space="0" w:color="auto"/>
            <w:left w:val="none" w:sz="0" w:space="0" w:color="auto"/>
            <w:bottom w:val="none" w:sz="0" w:space="0" w:color="auto"/>
            <w:right w:val="none" w:sz="0" w:space="0" w:color="auto"/>
          </w:divBdr>
        </w:div>
        <w:div w:id="233976587">
          <w:marLeft w:val="0"/>
          <w:marRight w:val="0"/>
          <w:marTop w:val="0"/>
          <w:marBottom w:val="0"/>
          <w:divBdr>
            <w:top w:val="none" w:sz="0" w:space="0" w:color="auto"/>
            <w:left w:val="none" w:sz="0" w:space="0" w:color="auto"/>
            <w:bottom w:val="none" w:sz="0" w:space="0" w:color="auto"/>
            <w:right w:val="none" w:sz="0" w:space="0" w:color="auto"/>
          </w:divBdr>
        </w:div>
        <w:div w:id="1110199005">
          <w:marLeft w:val="0"/>
          <w:marRight w:val="0"/>
          <w:marTop w:val="0"/>
          <w:marBottom w:val="0"/>
          <w:divBdr>
            <w:top w:val="none" w:sz="0" w:space="0" w:color="auto"/>
            <w:left w:val="none" w:sz="0" w:space="0" w:color="auto"/>
            <w:bottom w:val="none" w:sz="0" w:space="0" w:color="auto"/>
            <w:right w:val="none" w:sz="0" w:space="0" w:color="auto"/>
          </w:divBdr>
        </w:div>
        <w:div w:id="152449105">
          <w:marLeft w:val="0"/>
          <w:marRight w:val="0"/>
          <w:marTop w:val="0"/>
          <w:marBottom w:val="0"/>
          <w:divBdr>
            <w:top w:val="none" w:sz="0" w:space="0" w:color="auto"/>
            <w:left w:val="none" w:sz="0" w:space="0" w:color="auto"/>
            <w:bottom w:val="none" w:sz="0" w:space="0" w:color="auto"/>
            <w:right w:val="none" w:sz="0" w:space="0" w:color="auto"/>
          </w:divBdr>
          <w:divsChild>
            <w:div w:id="6470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03538251">
      <w:bodyDiv w:val="1"/>
      <w:marLeft w:val="0"/>
      <w:marRight w:val="0"/>
      <w:marTop w:val="0"/>
      <w:marBottom w:val="0"/>
      <w:divBdr>
        <w:top w:val="none" w:sz="0" w:space="0" w:color="auto"/>
        <w:left w:val="none" w:sz="0" w:space="0" w:color="auto"/>
        <w:bottom w:val="none" w:sz="0" w:space="0" w:color="auto"/>
        <w:right w:val="none" w:sz="0" w:space="0" w:color="auto"/>
      </w:divBdr>
      <w:divsChild>
        <w:div w:id="2080857974">
          <w:marLeft w:val="0"/>
          <w:marRight w:val="0"/>
          <w:marTop w:val="0"/>
          <w:marBottom w:val="0"/>
          <w:divBdr>
            <w:top w:val="none" w:sz="0" w:space="0" w:color="auto"/>
            <w:left w:val="none" w:sz="0" w:space="0" w:color="auto"/>
            <w:bottom w:val="none" w:sz="0" w:space="0" w:color="auto"/>
            <w:right w:val="none" w:sz="0" w:space="0" w:color="auto"/>
          </w:divBdr>
        </w:div>
        <w:div w:id="1261914228">
          <w:marLeft w:val="0"/>
          <w:marRight w:val="0"/>
          <w:marTop w:val="0"/>
          <w:marBottom w:val="0"/>
          <w:divBdr>
            <w:top w:val="none" w:sz="0" w:space="0" w:color="auto"/>
            <w:left w:val="none" w:sz="0" w:space="0" w:color="auto"/>
            <w:bottom w:val="none" w:sz="0" w:space="0" w:color="auto"/>
            <w:right w:val="none" w:sz="0" w:space="0" w:color="auto"/>
          </w:divBdr>
        </w:div>
      </w:divsChild>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58652324">
      <w:bodyDiv w:val="1"/>
      <w:marLeft w:val="0"/>
      <w:marRight w:val="0"/>
      <w:marTop w:val="0"/>
      <w:marBottom w:val="0"/>
      <w:divBdr>
        <w:top w:val="none" w:sz="0" w:space="0" w:color="auto"/>
        <w:left w:val="none" w:sz="0" w:space="0" w:color="auto"/>
        <w:bottom w:val="none" w:sz="0" w:space="0" w:color="auto"/>
        <w:right w:val="none" w:sz="0" w:space="0" w:color="auto"/>
      </w:divBdr>
      <w:divsChild>
        <w:div w:id="2010791895">
          <w:marLeft w:val="0"/>
          <w:marRight w:val="0"/>
          <w:marTop w:val="0"/>
          <w:marBottom w:val="0"/>
          <w:divBdr>
            <w:top w:val="none" w:sz="0" w:space="0" w:color="auto"/>
            <w:left w:val="none" w:sz="0" w:space="0" w:color="auto"/>
            <w:bottom w:val="none" w:sz="0" w:space="0" w:color="auto"/>
            <w:right w:val="none" w:sz="0" w:space="0" w:color="auto"/>
          </w:divBdr>
        </w:div>
        <w:div w:id="857238461">
          <w:marLeft w:val="0"/>
          <w:marRight w:val="0"/>
          <w:marTop w:val="0"/>
          <w:marBottom w:val="0"/>
          <w:divBdr>
            <w:top w:val="none" w:sz="0" w:space="0" w:color="auto"/>
            <w:left w:val="none" w:sz="0" w:space="0" w:color="auto"/>
            <w:bottom w:val="none" w:sz="0" w:space="0" w:color="auto"/>
            <w:right w:val="none" w:sz="0" w:space="0" w:color="auto"/>
          </w:divBdr>
        </w:div>
        <w:div w:id="1424687345">
          <w:marLeft w:val="0"/>
          <w:marRight w:val="0"/>
          <w:marTop w:val="0"/>
          <w:marBottom w:val="0"/>
          <w:divBdr>
            <w:top w:val="none" w:sz="0" w:space="0" w:color="auto"/>
            <w:left w:val="none" w:sz="0" w:space="0" w:color="auto"/>
            <w:bottom w:val="none" w:sz="0" w:space="0" w:color="auto"/>
            <w:right w:val="none" w:sz="0" w:space="0" w:color="auto"/>
          </w:divBdr>
        </w:div>
        <w:div w:id="503058904">
          <w:marLeft w:val="0"/>
          <w:marRight w:val="0"/>
          <w:marTop w:val="0"/>
          <w:marBottom w:val="0"/>
          <w:divBdr>
            <w:top w:val="none" w:sz="0" w:space="0" w:color="auto"/>
            <w:left w:val="none" w:sz="0" w:space="0" w:color="auto"/>
            <w:bottom w:val="none" w:sz="0" w:space="0" w:color="auto"/>
            <w:right w:val="none" w:sz="0" w:space="0" w:color="auto"/>
          </w:divBdr>
        </w:div>
      </w:divsChild>
    </w:div>
    <w:div w:id="673646568">
      <w:bodyDiv w:val="1"/>
      <w:marLeft w:val="0"/>
      <w:marRight w:val="0"/>
      <w:marTop w:val="0"/>
      <w:marBottom w:val="0"/>
      <w:divBdr>
        <w:top w:val="none" w:sz="0" w:space="0" w:color="auto"/>
        <w:left w:val="none" w:sz="0" w:space="0" w:color="auto"/>
        <w:bottom w:val="none" w:sz="0" w:space="0" w:color="auto"/>
        <w:right w:val="none" w:sz="0" w:space="0" w:color="auto"/>
      </w:divBdr>
      <w:divsChild>
        <w:div w:id="691758905">
          <w:marLeft w:val="0"/>
          <w:marRight w:val="0"/>
          <w:marTop w:val="0"/>
          <w:marBottom w:val="0"/>
          <w:divBdr>
            <w:top w:val="none" w:sz="0" w:space="0" w:color="auto"/>
            <w:left w:val="none" w:sz="0" w:space="0" w:color="auto"/>
            <w:bottom w:val="none" w:sz="0" w:space="0" w:color="auto"/>
            <w:right w:val="none" w:sz="0" w:space="0" w:color="auto"/>
          </w:divBdr>
        </w:div>
        <w:div w:id="576287177">
          <w:marLeft w:val="0"/>
          <w:marRight w:val="0"/>
          <w:marTop w:val="0"/>
          <w:marBottom w:val="0"/>
          <w:divBdr>
            <w:top w:val="none" w:sz="0" w:space="0" w:color="auto"/>
            <w:left w:val="none" w:sz="0" w:space="0" w:color="auto"/>
            <w:bottom w:val="none" w:sz="0" w:space="0" w:color="auto"/>
            <w:right w:val="none" w:sz="0" w:space="0" w:color="auto"/>
          </w:divBdr>
        </w:div>
        <w:div w:id="1580482118">
          <w:marLeft w:val="0"/>
          <w:marRight w:val="0"/>
          <w:marTop w:val="0"/>
          <w:marBottom w:val="0"/>
          <w:divBdr>
            <w:top w:val="none" w:sz="0" w:space="0" w:color="auto"/>
            <w:left w:val="none" w:sz="0" w:space="0" w:color="auto"/>
            <w:bottom w:val="none" w:sz="0" w:space="0" w:color="auto"/>
            <w:right w:val="none" w:sz="0" w:space="0" w:color="auto"/>
          </w:divBdr>
        </w:div>
        <w:div w:id="1590039039">
          <w:marLeft w:val="0"/>
          <w:marRight w:val="0"/>
          <w:marTop w:val="0"/>
          <w:marBottom w:val="0"/>
          <w:divBdr>
            <w:top w:val="none" w:sz="0" w:space="0" w:color="auto"/>
            <w:left w:val="none" w:sz="0" w:space="0" w:color="auto"/>
            <w:bottom w:val="none" w:sz="0" w:space="0" w:color="auto"/>
            <w:right w:val="none" w:sz="0" w:space="0" w:color="auto"/>
          </w:divBdr>
          <w:divsChild>
            <w:div w:id="1217088664">
              <w:marLeft w:val="0"/>
              <w:marRight w:val="0"/>
              <w:marTop w:val="0"/>
              <w:marBottom w:val="0"/>
              <w:divBdr>
                <w:top w:val="none" w:sz="0" w:space="0" w:color="auto"/>
                <w:left w:val="none" w:sz="0" w:space="0" w:color="auto"/>
                <w:bottom w:val="none" w:sz="0" w:space="0" w:color="auto"/>
                <w:right w:val="none" w:sz="0" w:space="0" w:color="auto"/>
              </w:divBdr>
            </w:div>
            <w:div w:id="1902128760">
              <w:marLeft w:val="0"/>
              <w:marRight w:val="0"/>
              <w:marTop w:val="0"/>
              <w:marBottom w:val="0"/>
              <w:divBdr>
                <w:top w:val="none" w:sz="0" w:space="0" w:color="auto"/>
                <w:left w:val="none" w:sz="0" w:space="0" w:color="auto"/>
                <w:bottom w:val="none" w:sz="0" w:space="0" w:color="auto"/>
                <w:right w:val="none" w:sz="0" w:space="0" w:color="auto"/>
              </w:divBdr>
            </w:div>
            <w:div w:id="1695811987">
              <w:marLeft w:val="0"/>
              <w:marRight w:val="0"/>
              <w:marTop w:val="0"/>
              <w:marBottom w:val="0"/>
              <w:divBdr>
                <w:top w:val="none" w:sz="0" w:space="0" w:color="auto"/>
                <w:left w:val="none" w:sz="0" w:space="0" w:color="auto"/>
                <w:bottom w:val="none" w:sz="0" w:space="0" w:color="auto"/>
                <w:right w:val="none" w:sz="0" w:space="0" w:color="auto"/>
              </w:divBdr>
              <w:divsChild>
                <w:div w:id="677081396">
                  <w:marLeft w:val="0"/>
                  <w:marRight w:val="0"/>
                  <w:marTop w:val="0"/>
                  <w:marBottom w:val="0"/>
                  <w:divBdr>
                    <w:top w:val="none" w:sz="0" w:space="0" w:color="auto"/>
                    <w:left w:val="none" w:sz="0" w:space="0" w:color="auto"/>
                    <w:bottom w:val="none" w:sz="0" w:space="0" w:color="auto"/>
                    <w:right w:val="none" w:sz="0" w:space="0" w:color="auto"/>
                  </w:divBdr>
                </w:div>
                <w:div w:id="194387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90447">
          <w:marLeft w:val="0"/>
          <w:marRight w:val="0"/>
          <w:marTop w:val="0"/>
          <w:marBottom w:val="0"/>
          <w:divBdr>
            <w:top w:val="none" w:sz="0" w:space="0" w:color="auto"/>
            <w:left w:val="none" w:sz="0" w:space="0" w:color="auto"/>
            <w:bottom w:val="none" w:sz="0" w:space="0" w:color="auto"/>
            <w:right w:val="none" w:sz="0" w:space="0" w:color="auto"/>
          </w:divBdr>
        </w:div>
        <w:div w:id="270212156">
          <w:marLeft w:val="0"/>
          <w:marRight w:val="0"/>
          <w:marTop w:val="0"/>
          <w:marBottom w:val="0"/>
          <w:divBdr>
            <w:top w:val="none" w:sz="0" w:space="0" w:color="auto"/>
            <w:left w:val="none" w:sz="0" w:space="0" w:color="auto"/>
            <w:bottom w:val="none" w:sz="0" w:space="0" w:color="auto"/>
            <w:right w:val="none" w:sz="0" w:space="0" w:color="auto"/>
          </w:divBdr>
        </w:div>
      </w:divsChild>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54939466">
      <w:bodyDiv w:val="1"/>
      <w:marLeft w:val="0"/>
      <w:marRight w:val="0"/>
      <w:marTop w:val="0"/>
      <w:marBottom w:val="0"/>
      <w:divBdr>
        <w:top w:val="none" w:sz="0" w:space="0" w:color="auto"/>
        <w:left w:val="none" w:sz="0" w:space="0" w:color="auto"/>
        <w:bottom w:val="none" w:sz="0" w:space="0" w:color="auto"/>
        <w:right w:val="none" w:sz="0" w:space="0" w:color="auto"/>
      </w:divBdr>
      <w:divsChild>
        <w:div w:id="1175724065">
          <w:marLeft w:val="0"/>
          <w:marRight w:val="0"/>
          <w:marTop w:val="0"/>
          <w:marBottom w:val="0"/>
          <w:divBdr>
            <w:top w:val="none" w:sz="0" w:space="0" w:color="auto"/>
            <w:left w:val="none" w:sz="0" w:space="0" w:color="auto"/>
            <w:bottom w:val="none" w:sz="0" w:space="0" w:color="auto"/>
            <w:right w:val="none" w:sz="0" w:space="0" w:color="auto"/>
          </w:divBdr>
        </w:div>
        <w:div w:id="831138072">
          <w:marLeft w:val="0"/>
          <w:marRight w:val="0"/>
          <w:marTop w:val="0"/>
          <w:marBottom w:val="0"/>
          <w:divBdr>
            <w:top w:val="none" w:sz="0" w:space="0" w:color="auto"/>
            <w:left w:val="none" w:sz="0" w:space="0" w:color="auto"/>
            <w:bottom w:val="none" w:sz="0" w:space="0" w:color="auto"/>
            <w:right w:val="none" w:sz="0" w:space="0" w:color="auto"/>
          </w:divBdr>
        </w:div>
        <w:div w:id="280695989">
          <w:marLeft w:val="0"/>
          <w:marRight w:val="0"/>
          <w:marTop w:val="0"/>
          <w:marBottom w:val="0"/>
          <w:divBdr>
            <w:top w:val="none" w:sz="0" w:space="0" w:color="auto"/>
            <w:left w:val="none" w:sz="0" w:space="0" w:color="auto"/>
            <w:bottom w:val="none" w:sz="0" w:space="0" w:color="auto"/>
            <w:right w:val="none" w:sz="0" w:space="0" w:color="auto"/>
          </w:divBdr>
        </w:div>
        <w:div w:id="458651621">
          <w:marLeft w:val="0"/>
          <w:marRight w:val="0"/>
          <w:marTop w:val="0"/>
          <w:marBottom w:val="0"/>
          <w:divBdr>
            <w:top w:val="none" w:sz="0" w:space="0" w:color="auto"/>
            <w:left w:val="none" w:sz="0" w:space="0" w:color="auto"/>
            <w:bottom w:val="none" w:sz="0" w:space="0" w:color="auto"/>
            <w:right w:val="none" w:sz="0" w:space="0" w:color="auto"/>
          </w:divBdr>
        </w:div>
        <w:div w:id="1112555459">
          <w:marLeft w:val="0"/>
          <w:marRight w:val="0"/>
          <w:marTop w:val="0"/>
          <w:marBottom w:val="0"/>
          <w:divBdr>
            <w:top w:val="none" w:sz="0" w:space="0" w:color="auto"/>
            <w:left w:val="none" w:sz="0" w:space="0" w:color="auto"/>
            <w:bottom w:val="none" w:sz="0" w:space="0" w:color="auto"/>
            <w:right w:val="none" w:sz="0" w:space="0" w:color="auto"/>
          </w:divBdr>
        </w:div>
        <w:div w:id="623074118">
          <w:marLeft w:val="0"/>
          <w:marRight w:val="0"/>
          <w:marTop w:val="0"/>
          <w:marBottom w:val="0"/>
          <w:divBdr>
            <w:top w:val="none" w:sz="0" w:space="0" w:color="auto"/>
            <w:left w:val="none" w:sz="0" w:space="0" w:color="auto"/>
            <w:bottom w:val="none" w:sz="0" w:space="0" w:color="auto"/>
            <w:right w:val="none" w:sz="0" w:space="0" w:color="auto"/>
          </w:divBdr>
        </w:div>
      </w:divsChild>
    </w:div>
    <w:div w:id="755594709">
      <w:bodyDiv w:val="1"/>
      <w:marLeft w:val="0"/>
      <w:marRight w:val="0"/>
      <w:marTop w:val="0"/>
      <w:marBottom w:val="0"/>
      <w:divBdr>
        <w:top w:val="none" w:sz="0" w:space="0" w:color="auto"/>
        <w:left w:val="none" w:sz="0" w:space="0" w:color="auto"/>
        <w:bottom w:val="none" w:sz="0" w:space="0" w:color="auto"/>
        <w:right w:val="none" w:sz="0" w:space="0" w:color="auto"/>
      </w:divBdr>
      <w:divsChild>
        <w:div w:id="289364793">
          <w:marLeft w:val="0"/>
          <w:marRight w:val="0"/>
          <w:marTop w:val="0"/>
          <w:marBottom w:val="0"/>
          <w:divBdr>
            <w:top w:val="none" w:sz="0" w:space="0" w:color="auto"/>
            <w:left w:val="none" w:sz="0" w:space="0" w:color="auto"/>
            <w:bottom w:val="none" w:sz="0" w:space="0" w:color="auto"/>
            <w:right w:val="none" w:sz="0" w:space="0" w:color="auto"/>
          </w:divBdr>
        </w:div>
        <w:div w:id="718823885">
          <w:marLeft w:val="0"/>
          <w:marRight w:val="0"/>
          <w:marTop w:val="0"/>
          <w:marBottom w:val="0"/>
          <w:divBdr>
            <w:top w:val="none" w:sz="0" w:space="0" w:color="auto"/>
            <w:left w:val="none" w:sz="0" w:space="0" w:color="auto"/>
            <w:bottom w:val="none" w:sz="0" w:space="0" w:color="auto"/>
            <w:right w:val="none" w:sz="0" w:space="0" w:color="auto"/>
          </w:divBdr>
        </w:div>
        <w:div w:id="336228343">
          <w:marLeft w:val="0"/>
          <w:marRight w:val="0"/>
          <w:marTop w:val="0"/>
          <w:marBottom w:val="0"/>
          <w:divBdr>
            <w:top w:val="none" w:sz="0" w:space="0" w:color="auto"/>
            <w:left w:val="none" w:sz="0" w:space="0" w:color="auto"/>
            <w:bottom w:val="none" w:sz="0" w:space="0" w:color="auto"/>
            <w:right w:val="none" w:sz="0" w:space="0" w:color="auto"/>
          </w:divBdr>
        </w:div>
        <w:div w:id="285626600">
          <w:marLeft w:val="0"/>
          <w:marRight w:val="0"/>
          <w:marTop w:val="0"/>
          <w:marBottom w:val="0"/>
          <w:divBdr>
            <w:top w:val="none" w:sz="0" w:space="0" w:color="auto"/>
            <w:left w:val="none" w:sz="0" w:space="0" w:color="auto"/>
            <w:bottom w:val="none" w:sz="0" w:space="0" w:color="auto"/>
            <w:right w:val="none" w:sz="0" w:space="0" w:color="auto"/>
          </w:divBdr>
        </w:div>
        <w:div w:id="1654024722">
          <w:marLeft w:val="0"/>
          <w:marRight w:val="0"/>
          <w:marTop w:val="0"/>
          <w:marBottom w:val="0"/>
          <w:divBdr>
            <w:top w:val="none" w:sz="0" w:space="0" w:color="auto"/>
            <w:left w:val="none" w:sz="0" w:space="0" w:color="auto"/>
            <w:bottom w:val="none" w:sz="0" w:space="0" w:color="auto"/>
            <w:right w:val="none" w:sz="0" w:space="0" w:color="auto"/>
          </w:divBdr>
        </w:div>
        <w:div w:id="1674642729">
          <w:marLeft w:val="0"/>
          <w:marRight w:val="0"/>
          <w:marTop w:val="0"/>
          <w:marBottom w:val="0"/>
          <w:divBdr>
            <w:top w:val="none" w:sz="0" w:space="0" w:color="auto"/>
            <w:left w:val="none" w:sz="0" w:space="0" w:color="auto"/>
            <w:bottom w:val="none" w:sz="0" w:space="0" w:color="auto"/>
            <w:right w:val="none" w:sz="0" w:space="0" w:color="auto"/>
          </w:divBdr>
        </w:div>
        <w:div w:id="1975594689">
          <w:marLeft w:val="0"/>
          <w:marRight w:val="0"/>
          <w:marTop w:val="0"/>
          <w:marBottom w:val="0"/>
          <w:divBdr>
            <w:top w:val="none" w:sz="0" w:space="0" w:color="auto"/>
            <w:left w:val="none" w:sz="0" w:space="0" w:color="auto"/>
            <w:bottom w:val="none" w:sz="0" w:space="0" w:color="auto"/>
            <w:right w:val="none" w:sz="0" w:space="0" w:color="auto"/>
          </w:divBdr>
        </w:div>
        <w:div w:id="804129876">
          <w:marLeft w:val="0"/>
          <w:marRight w:val="0"/>
          <w:marTop w:val="0"/>
          <w:marBottom w:val="0"/>
          <w:divBdr>
            <w:top w:val="none" w:sz="0" w:space="0" w:color="auto"/>
            <w:left w:val="none" w:sz="0" w:space="0" w:color="auto"/>
            <w:bottom w:val="none" w:sz="0" w:space="0" w:color="auto"/>
            <w:right w:val="none" w:sz="0" w:space="0" w:color="auto"/>
          </w:divBdr>
        </w:div>
        <w:div w:id="36972163">
          <w:marLeft w:val="0"/>
          <w:marRight w:val="0"/>
          <w:marTop w:val="0"/>
          <w:marBottom w:val="0"/>
          <w:divBdr>
            <w:top w:val="none" w:sz="0" w:space="0" w:color="auto"/>
            <w:left w:val="none" w:sz="0" w:space="0" w:color="auto"/>
            <w:bottom w:val="none" w:sz="0" w:space="0" w:color="auto"/>
            <w:right w:val="none" w:sz="0" w:space="0" w:color="auto"/>
          </w:divBdr>
        </w:div>
        <w:div w:id="9718622">
          <w:marLeft w:val="0"/>
          <w:marRight w:val="0"/>
          <w:marTop w:val="0"/>
          <w:marBottom w:val="0"/>
          <w:divBdr>
            <w:top w:val="none" w:sz="0" w:space="0" w:color="auto"/>
            <w:left w:val="none" w:sz="0" w:space="0" w:color="auto"/>
            <w:bottom w:val="none" w:sz="0" w:space="0" w:color="auto"/>
            <w:right w:val="none" w:sz="0" w:space="0" w:color="auto"/>
          </w:divBdr>
        </w:div>
        <w:div w:id="1883589071">
          <w:marLeft w:val="0"/>
          <w:marRight w:val="0"/>
          <w:marTop w:val="0"/>
          <w:marBottom w:val="0"/>
          <w:divBdr>
            <w:top w:val="none" w:sz="0" w:space="0" w:color="auto"/>
            <w:left w:val="none" w:sz="0" w:space="0" w:color="auto"/>
            <w:bottom w:val="none" w:sz="0" w:space="0" w:color="auto"/>
            <w:right w:val="none" w:sz="0" w:space="0" w:color="auto"/>
          </w:divBdr>
        </w:div>
        <w:div w:id="579219702">
          <w:marLeft w:val="0"/>
          <w:marRight w:val="0"/>
          <w:marTop w:val="0"/>
          <w:marBottom w:val="0"/>
          <w:divBdr>
            <w:top w:val="none" w:sz="0" w:space="0" w:color="auto"/>
            <w:left w:val="none" w:sz="0" w:space="0" w:color="auto"/>
            <w:bottom w:val="none" w:sz="0" w:space="0" w:color="auto"/>
            <w:right w:val="none" w:sz="0" w:space="0" w:color="auto"/>
          </w:divBdr>
        </w:div>
        <w:div w:id="1489663480">
          <w:marLeft w:val="0"/>
          <w:marRight w:val="0"/>
          <w:marTop w:val="0"/>
          <w:marBottom w:val="0"/>
          <w:divBdr>
            <w:top w:val="none" w:sz="0" w:space="0" w:color="auto"/>
            <w:left w:val="none" w:sz="0" w:space="0" w:color="auto"/>
            <w:bottom w:val="none" w:sz="0" w:space="0" w:color="auto"/>
            <w:right w:val="none" w:sz="0" w:space="0" w:color="auto"/>
          </w:divBdr>
        </w:div>
        <w:div w:id="1653830754">
          <w:marLeft w:val="0"/>
          <w:marRight w:val="0"/>
          <w:marTop w:val="0"/>
          <w:marBottom w:val="0"/>
          <w:divBdr>
            <w:top w:val="none" w:sz="0" w:space="0" w:color="auto"/>
            <w:left w:val="none" w:sz="0" w:space="0" w:color="auto"/>
            <w:bottom w:val="none" w:sz="0" w:space="0" w:color="auto"/>
            <w:right w:val="none" w:sz="0" w:space="0" w:color="auto"/>
          </w:divBdr>
        </w:div>
        <w:div w:id="1019159766">
          <w:marLeft w:val="0"/>
          <w:marRight w:val="0"/>
          <w:marTop w:val="0"/>
          <w:marBottom w:val="0"/>
          <w:divBdr>
            <w:top w:val="none" w:sz="0" w:space="0" w:color="auto"/>
            <w:left w:val="none" w:sz="0" w:space="0" w:color="auto"/>
            <w:bottom w:val="none" w:sz="0" w:space="0" w:color="auto"/>
            <w:right w:val="none" w:sz="0" w:space="0" w:color="auto"/>
          </w:divBdr>
          <w:divsChild>
            <w:div w:id="2256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15147428">
      <w:bodyDiv w:val="1"/>
      <w:marLeft w:val="0"/>
      <w:marRight w:val="0"/>
      <w:marTop w:val="0"/>
      <w:marBottom w:val="0"/>
      <w:divBdr>
        <w:top w:val="none" w:sz="0" w:space="0" w:color="auto"/>
        <w:left w:val="none" w:sz="0" w:space="0" w:color="auto"/>
        <w:bottom w:val="none" w:sz="0" w:space="0" w:color="auto"/>
        <w:right w:val="none" w:sz="0" w:space="0" w:color="auto"/>
      </w:divBdr>
      <w:divsChild>
        <w:div w:id="1885367992">
          <w:marLeft w:val="0"/>
          <w:marRight w:val="0"/>
          <w:marTop w:val="0"/>
          <w:marBottom w:val="0"/>
          <w:divBdr>
            <w:top w:val="none" w:sz="0" w:space="0" w:color="auto"/>
            <w:left w:val="none" w:sz="0" w:space="0" w:color="auto"/>
            <w:bottom w:val="none" w:sz="0" w:space="0" w:color="auto"/>
            <w:right w:val="none" w:sz="0" w:space="0" w:color="auto"/>
          </w:divBdr>
        </w:div>
        <w:div w:id="903686438">
          <w:marLeft w:val="0"/>
          <w:marRight w:val="0"/>
          <w:marTop w:val="0"/>
          <w:marBottom w:val="0"/>
          <w:divBdr>
            <w:top w:val="none" w:sz="0" w:space="0" w:color="auto"/>
            <w:left w:val="none" w:sz="0" w:space="0" w:color="auto"/>
            <w:bottom w:val="none" w:sz="0" w:space="0" w:color="auto"/>
            <w:right w:val="none" w:sz="0" w:space="0" w:color="auto"/>
          </w:divBdr>
        </w:div>
        <w:div w:id="790440302">
          <w:marLeft w:val="0"/>
          <w:marRight w:val="0"/>
          <w:marTop w:val="0"/>
          <w:marBottom w:val="0"/>
          <w:divBdr>
            <w:top w:val="none" w:sz="0" w:space="0" w:color="auto"/>
            <w:left w:val="none" w:sz="0" w:space="0" w:color="auto"/>
            <w:bottom w:val="none" w:sz="0" w:space="0" w:color="auto"/>
            <w:right w:val="none" w:sz="0" w:space="0" w:color="auto"/>
          </w:divBdr>
        </w:div>
        <w:div w:id="1963996064">
          <w:marLeft w:val="0"/>
          <w:marRight w:val="0"/>
          <w:marTop w:val="0"/>
          <w:marBottom w:val="0"/>
          <w:divBdr>
            <w:top w:val="none" w:sz="0" w:space="0" w:color="auto"/>
            <w:left w:val="none" w:sz="0" w:space="0" w:color="auto"/>
            <w:bottom w:val="none" w:sz="0" w:space="0" w:color="auto"/>
            <w:right w:val="none" w:sz="0" w:space="0" w:color="auto"/>
          </w:divBdr>
        </w:div>
        <w:div w:id="340622516">
          <w:marLeft w:val="0"/>
          <w:marRight w:val="0"/>
          <w:marTop w:val="0"/>
          <w:marBottom w:val="0"/>
          <w:divBdr>
            <w:top w:val="none" w:sz="0" w:space="0" w:color="auto"/>
            <w:left w:val="none" w:sz="0" w:space="0" w:color="auto"/>
            <w:bottom w:val="none" w:sz="0" w:space="0" w:color="auto"/>
            <w:right w:val="none" w:sz="0" w:space="0" w:color="auto"/>
          </w:divBdr>
        </w:div>
        <w:div w:id="1080980269">
          <w:marLeft w:val="0"/>
          <w:marRight w:val="0"/>
          <w:marTop w:val="0"/>
          <w:marBottom w:val="0"/>
          <w:divBdr>
            <w:top w:val="none" w:sz="0" w:space="0" w:color="auto"/>
            <w:left w:val="none" w:sz="0" w:space="0" w:color="auto"/>
            <w:bottom w:val="none" w:sz="0" w:space="0" w:color="auto"/>
            <w:right w:val="none" w:sz="0" w:space="0" w:color="auto"/>
          </w:divBdr>
        </w:div>
        <w:div w:id="814032853">
          <w:marLeft w:val="0"/>
          <w:marRight w:val="0"/>
          <w:marTop w:val="0"/>
          <w:marBottom w:val="0"/>
          <w:divBdr>
            <w:top w:val="none" w:sz="0" w:space="0" w:color="auto"/>
            <w:left w:val="none" w:sz="0" w:space="0" w:color="auto"/>
            <w:bottom w:val="none" w:sz="0" w:space="0" w:color="auto"/>
            <w:right w:val="none" w:sz="0" w:space="0" w:color="auto"/>
          </w:divBdr>
        </w:div>
        <w:div w:id="1230118522">
          <w:marLeft w:val="0"/>
          <w:marRight w:val="0"/>
          <w:marTop w:val="0"/>
          <w:marBottom w:val="0"/>
          <w:divBdr>
            <w:top w:val="none" w:sz="0" w:space="0" w:color="auto"/>
            <w:left w:val="none" w:sz="0" w:space="0" w:color="auto"/>
            <w:bottom w:val="none" w:sz="0" w:space="0" w:color="auto"/>
            <w:right w:val="none" w:sz="0" w:space="0" w:color="auto"/>
          </w:divBdr>
          <w:divsChild>
            <w:div w:id="64566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74816">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53231612">
      <w:bodyDiv w:val="1"/>
      <w:marLeft w:val="0"/>
      <w:marRight w:val="0"/>
      <w:marTop w:val="0"/>
      <w:marBottom w:val="0"/>
      <w:divBdr>
        <w:top w:val="none" w:sz="0" w:space="0" w:color="auto"/>
        <w:left w:val="none" w:sz="0" w:space="0" w:color="auto"/>
        <w:bottom w:val="none" w:sz="0" w:space="0" w:color="auto"/>
        <w:right w:val="none" w:sz="0" w:space="0" w:color="auto"/>
      </w:divBdr>
      <w:divsChild>
        <w:div w:id="1570312614">
          <w:marLeft w:val="0"/>
          <w:marRight w:val="0"/>
          <w:marTop w:val="0"/>
          <w:marBottom w:val="0"/>
          <w:divBdr>
            <w:top w:val="none" w:sz="0" w:space="0" w:color="auto"/>
            <w:left w:val="none" w:sz="0" w:space="0" w:color="auto"/>
            <w:bottom w:val="none" w:sz="0" w:space="0" w:color="auto"/>
            <w:right w:val="none" w:sz="0" w:space="0" w:color="auto"/>
          </w:divBdr>
        </w:div>
        <w:div w:id="186524957">
          <w:marLeft w:val="0"/>
          <w:marRight w:val="0"/>
          <w:marTop w:val="0"/>
          <w:marBottom w:val="0"/>
          <w:divBdr>
            <w:top w:val="none" w:sz="0" w:space="0" w:color="auto"/>
            <w:left w:val="none" w:sz="0" w:space="0" w:color="auto"/>
            <w:bottom w:val="none" w:sz="0" w:space="0" w:color="auto"/>
            <w:right w:val="none" w:sz="0" w:space="0" w:color="auto"/>
          </w:divBdr>
        </w:div>
        <w:div w:id="1536651766">
          <w:marLeft w:val="0"/>
          <w:marRight w:val="0"/>
          <w:marTop w:val="0"/>
          <w:marBottom w:val="0"/>
          <w:divBdr>
            <w:top w:val="none" w:sz="0" w:space="0" w:color="auto"/>
            <w:left w:val="none" w:sz="0" w:space="0" w:color="auto"/>
            <w:bottom w:val="none" w:sz="0" w:space="0" w:color="auto"/>
            <w:right w:val="none" w:sz="0" w:space="0" w:color="auto"/>
          </w:divBdr>
        </w:div>
        <w:div w:id="218321280">
          <w:marLeft w:val="0"/>
          <w:marRight w:val="0"/>
          <w:marTop w:val="0"/>
          <w:marBottom w:val="0"/>
          <w:divBdr>
            <w:top w:val="none" w:sz="0" w:space="0" w:color="auto"/>
            <w:left w:val="none" w:sz="0" w:space="0" w:color="auto"/>
            <w:bottom w:val="none" w:sz="0" w:space="0" w:color="auto"/>
            <w:right w:val="none" w:sz="0" w:space="0" w:color="auto"/>
          </w:divBdr>
        </w:div>
        <w:div w:id="874931671">
          <w:marLeft w:val="0"/>
          <w:marRight w:val="0"/>
          <w:marTop w:val="0"/>
          <w:marBottom w:val="0"/>
          <w:divBdr>
            <w:top w:val="none" w:sz="0" w:space="0" w:color="auto"/>
            <w:left w:val="none" w:sz="0" w:space="0" w:color="auto"/>
            <w:bottom w:val="none" w:sz="0" w:space="0" w:color="auto"/>
            <w:right w:val="none" w:sz="0" w:space="0" w:color="auto"/>
          </w:divBdr>
        </w:div>
        <w:div w:id="289284329">
          <w:marLeft w:val="0"/>
          <w:marRight w:val="0"/>
          <w:marTop w:val="0"/>
          <w:marBottom w:val="0"/>
          <w:divBdr>
            <w:top w:val="none" w:sz="0" w:space="0" w:color="auto"/>
            <w:left w:val="none" w:sz="0" w:space="0" w:color="auto"/>
            <w:bottom w:val="none" w:sz="0" w:space="0" w:color="auto"/>
            <w:right w:val="none" w:sz="0" w:space="0" w:color="auto"/>
          </w:divBdr>
        </w:div>
        <w:div w:id="155272096">
          <w:marLeft w:val="0"/>
          <w:marRight w:val="0"/>
          <w:marTop w:val="0"/>
          <w:marBottom w:val="0"/>
          <w:divBdr>
            <w:top w:val="none" w:sz="0" w:space="0" w:color="auto"/>
            <w:left w:val="none" w:sz="0" w:space="0" w:color="auto"/>
            <w:bottom w:val="none" w:sz="0" w:space="0" w:color="auto"/>
            <w:right w:val="none" w:sz="0" w:space="0" w:color="auto"/>
          </w:divBdr>
        </w:div>
        <w:div w:id="1816027233">
          <w:marLeft w:val="0"/>
          <w:marRight w:val="0"/>
          <w:marTop w:val="0"/>
          <w:marBottom w:val="0"/>
          <w:divBdr>
            <w:top w:val="none" w:sz="0" w:space="0" w:color="auto"/>
            <w:left w:val="none" w:sz="0" w:space="0" w:color="auto"/>
            <w:bottom w:val="none" w:sz="0" w:space="0" w:color="auto"/>
            <w:right w:val="none" w:sz="0" w:space="0" w:color="auto"/>
          </w:divBdr>
        </w:div>
        <w:div w:id="278070766">
          <w:marLeft w:val="0"/>
          <w:marRight w:val="0"/>
          <w:marTop w:val="0"/>
          <w:marBottom w:val="0"/>
          <w:divBdr>
            <w:top w:val="none" w:sz="0" w:space="0" w:color="auto"/>
            <w:left w:val="none" w:sz="0" w:space="0" w:color="auto"/>
            <w:bottom w:val="none" w:sz="0" w:space="0" w:color="auto"/>
            <w:right w:val="none" w:sz="0" w:space="0" w:color="auto"/>
          </w:divBdr>
        </w:div>
        <w:div w:id="365644935">
          <w:marLeft w:val="0"/>
          <w:marRight w:val="0"/>
          <w:marTop w:val="0"/>
          <w:marBottom w:val="0"/>
          <w:divBdr>
            <w:top w:val="none" w:sz="0" w:space="0" w:color="auto"/>
            <w:left w:val="none" w:sz="0" w:space="0" w:color="auto"/>
            <w:bottom w:val="none" w:sz="0" w:space="0" w:color="auto"/>
            <w:right w:val="none" w:sz="0" w:space="0" w:color="auto"/>
          </w:divBdr>
        </w:div>
        <w:div w:id="1781219568">
          <w:marLeft w:val="0"/>
          <w:marRight w:val="0"/>
          <w:marTop w:val="0"/>
          <w:marBottom w:val="0"/>
          <w:divBdr>
            <w:top w:val="none" w:sz="0" w:space="0" w:color="auto"/>
            <w:left w:val="none" w:sz="0" w:space="0" w:color="auto"/>
            <w:bottom w:val="none" w:sz="0" w:space="0" w:color="auto"/>
            <w:right w:val="none" w:sz="0" w:space="0" w:color="auto"/>
          </w:divBdr>
        </w:div>
        <w:div w:id="410466011">
          <w:marLeft w:val="0"/>
          <w:marRight w:val="0"/>
          <w:marTop w:val="0"/>
          <w:marBottom w:val="0"/>
          <w:divBdr>
            <w:top w:val="none" w:sz="0" w:space="0" w:color="auto"/>
            <w:left w:val="none" w:sz="0" w:space="0" w:color="auto"/>
            <w:bottom w:val="none" w:sz="0" w:space="0" w:color="auto"/>
            <w:right w:val="none" w:sz="0" w:space="0" w:color="auto"/>
          </w:divBdr>
          <w:divsChild>
            <w:div w:id="263536134">
              <w:marLeft w:val="0"/>
              <w:marRight w:val="0"/>
              <w:marTop w:val="0"/>
              <w:marBottom w:val="0"/>
              <w:divBdr>
                <w:top w:val="none" w:sz="0" w:space="0" w:color="auto"/>
                <w:left w:val="none" w:sz="0" w:space="0" w:color="auto"/>
                <w:bottom w:val="none" w:sz="0" w:space="0" w:color="auto"/>
                <w:right w:val="none" w:sz="0" w:space="0" w:color="auto"/>
              </w:divBdr>
            </w:div>
          </w:divsChild>
        </w:div>
        <w:div w:id="91633888">
          <w:marLeft w:val="0"/>
          <w:marRight w:val="0"/>
          <w:marTop w:val="0"/>
          <w:marBottom w:val="0"/>
          <w:divBdr>
            <w:top w:val="none" w:sz="0" w:space="0" w:color="auto"/>
            <w:left w:val="none" w:sz="0" w:space="0" w:color="auto"/>
            <w:bottom w:val="none" w:sz="0" w:space="0" w:color="auto"/>
            <w:right w:val="none" w:sz="0" w:space="0" w:color="auto"/>
          </w:divBdr>
        </w:div>
        <w:div w:id="270555397">
          <w:marLeft w:val="0"/>
          <w:marRight w:val="0"/>
          <w:marTop w:val="0"/>
          <w:marBottom w:val="0"/>
          <w:divBdr>
            <w:top w:val="none" w:sz="0" w:space="0" w:color="auto"/>
            <w:left w:val="none" w:sz="0" w:space="0" w:color="auto"/>
            <w:bottom w:val="none" w:sz="0" w:space="0" w:color="auto"/>
            <w:right w:val="none" w:sz="0" w:space="0" w:color="auto"/>
          </w:divBdr>
          <w:divsChild>
            <w:div w:id="478688385">
              <w:marLeft w:val="0"/>
              <w:marRight w:val="0"/>
              <w:marTop w:val="0"/>
              <w:marBottom w:val="0"/>
              <w:divBdr>
                <w:top w:val="none" w:sz="0" w:space="0" w:color="auto"/>
                <w:left w:val="none" w:sz="0" w:space="0" w:color="auto"/>
                <w:bottom w:val="none" w:sz="0" w:space="0" w:color="auto"/>
                <w:right w:val="none" w:sz="0" w:space="0" w:color="auto"/>
              </w:divBdr>
            </w:div>
            <w:div w:id="1434587648">
              <w:marLeft w:val="0"/>
              <w:marRight w:val="0"/>
              <w:marTop w:val="0"/>
              <w:marBottom w:val="0"/>
              <w:divBdr>
                <w:top w:val="none" w:sz="0" w:space="0" w:color="auto"/>
                <w:left w:val="none" w:sz="0" w:space="0" w:color="auto"/>
                <w:bottom w:val="none" w:sz="0" w:space="0" w:color="auto"/>
                <w:right w:val="none" w:sz="0" w:space="0" w:color="auto"/>
              </w:divBdr>
            </w:div>
          </w:divsChild>
        </w:div>
        <w:div w:id="947586109">
          <w:marLeft w:val="0"/>
          <w:marRight w:val="0"/>
          <w:marTop w:val="0"/>
          <w:marBottom w:val="0"/>
          <w:divBdr>
            <w:top w:val="none" w:sz="0" w:space="0" w:color="auto"/>
            <w:left w:val="none" w:sz="0" w:space="0" w:color="auto"/>
            <w:bottom w:val="none" w:sz="0" w:space="0" w:color="auto"/>
            <w:right w:val="none" w:sz="0" w:space="0" w:color="auto"/>
          </w:divBdr>
        </w:div>
      </w:divsChild>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3975723">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239291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089696002">
      <w:bodyDiv w:val="1"/>
      <w:marLeft w:val="0"/>
      <w:marRight w:val="0"/>
      <w:marTop w:val="0"/>
      <w:marBottom w:val="0"/>
      <w:divBdr>
        <w:top w:val="none" w:sz="0" w:space="0" w:color="auto"/>
        <w:left w:val="none" w:sz="0" w:space="0" w:color="auto"/>
        <w:bottom w:val="none" w:sz="0" w:space="0" w:color="auto"/>
        <w:right w:val="none" w:sz="0" w:space="0" w:color="auto"/>
      </w:divBdr>
      <w:divsChild>
        <w:div w:id="4942291">
          <w:marLeft w:val="0"/>
          <w:marRight w:val="0"/>
          <w:marTop w:val="0"/>
          <w:marBottom w:val="0"/>
          <w:divBdr>
            <w:top w:val="none" w:sz="0" w:space="0" w:color="auto"/>
            <w:left w:val="none" w:sz="0" w:space="0" w:color="auto"/>
            <w:bottom w:val="none" w:sz="0" w:space="0" w:color="auto"/>
            <w:right w:val="none" w:sz="0" w:space="0" w:color="auto"/>
          </w:divBdr>
        </w:div>
        <w:div w:id="1913732936">
          <w:marLeft w:val="0"/>
          <w:marRight w:val="0"/>
          <w:marTop w:val="0"/>
          <w:marBottom w:val="0"/>
          <w:divBdr>
            <w:top w:val="none" w:sz="0" w:space="0" w:color="auto"/>
            <w:left w:val="none" w:sz="0" w:space="0" w:color="auto"/>
            <w:bottom w:val="none" w:sz="0" w:space="0" w:color="auto"/>
            <w:right w:val="none" w:sz="0" w:space="0" w:color="auto"/>
          </w:divBdr>
        </w:div>
        <w:div w:id="1509517798">
          <w:marLeft w:val="0"/>
          <w:marRight w:val="0"/>
          <w:marTop w:val="0"/>
          <w:marBottom w:val="0"/>
          <w:divBdr>
            <w:top w:val="none" w:sz="0" w:space="0" w:color="auto"/>
            <w:left w:val="none" w:sz="0" w:space="0" w:color="auto"/>
            <w:bottom w:val="none" w:sz="0" w:space="0" w:color="auto"/>
            <w:right w:val="none" w:sz="0" w:space="0" w:color="auto"/>
          </w:divBdr>
        </w:div>
        <w:div w:id="663237667">
          <w:marLeft w:val="0"/>
          <w:marRight w:val="0"/>
          <w:marTop w:val="0"/>
          <w:marBottom w:val="0"/>
          <w:divBdr>
            <w:top w:val="none" w:sz="0" w:space="0" w:color="auto"/>
            <w:left w:val="none" w:sz="0" w:space="0" w:color="auto"/>
            <w:bottom w:val="none" w:sz="0" w:space="0" w:color="auto"/>
            <w:right w:val="none" w:sz="0" w:space="0" w:color="auto"/>
          </w:divBdr>
          <w:divsChild>
            <w:div w:id="1505319393">
              <w:marLeft w:val="0"/>
              <w:marRight w:val="0"/>
              <w:marTop w:val="0"/>
              <w:marBottom w:val="0"/>
              <w:divBdr>
                <w:top w:val="none" w:sz="0" w:space="0" w:color="auto"/>
                <w:left w:val="none" w:sz="0" w:space="0" w:color="auto"/>
                <w:bottom w:val="none" w:sz="0" w:space="0" w:color="auto"/>
                <w:right w:val="none" w:sz="0" w:space="0" w:color="auto"/>
              </w:divBdr>
              <w:divsChild>
                <w:div w:id="1044863387">
                  <w:marLeft w:val="0"/>
                  <w:marRight w:val="0"/>
                  <w:marTop w:val="0"/>
                  <w:marBottom w:val="0"/>
                  <w:divBdr>
                    <w:top w:val="none" w:sz="0" w:space="0" w:color="auto"/>
                    <w:left w:val="none" w:sz="0" w:space="0" w:color="auto"/>
                    <w:bottom w:val="none" w:sz="0" w:space="0" w:color="auto"/>
                    <w:right w:val="none" w:sz="0" w:space="0" w:color="auto"/>
                  </w:divBdr>
                </w:div>
                <w:div w:id="11474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89397">
      <w:bodyDiv w:val="1"/>
      <w:marLeft w:val="0"/>
      <w:marRight w:val="0"/>
      <w:marTop w:val="0"/>
      <w:marBottom w:val="0"/>
      <w:divBdr>
        <w:top w:val="none" w:sz="0" w:space="0" w:color="auto"/>
        <w:left w:val="none" w:sz="0" w:space="0" w:color="auto"/>
        <w:bottom w:val="none" w:sz="0" w:space="0" w:color="auto"/>
        <w:right w:val="none" w:sz="0" w:space="0" w:color="auto"/>
      </w:divBdr>
      <w:divsChild>
        <w:div w:id="797140568">
          <w:marLeft w:val="0"/>
          <w:marRight w:val="0"/>
          <w:marTop w:val="0"/>
          <w:marBottom w:val="0"/>
          <w:divBdr>
            <w:top w:val="none" w:sz="0" w:space="0" w:color="auto"/>
            <w:left w:val="none" w:sz="0" w:space="0" w:color="auto"/>
            <w:bottom w:val="none" w:sz="0" w:space="0" w:color="auto"/>
            <w:right w:val="none" w:sz="0" w:space="0" w:color="auto"/>
          </w:divBdr>
        </w:div>
        <w:div w:id="1560750113">
          <w:marLeft w:val="0"/>
          <w:marRight w:val="0"/>
          <w:marTop w:val="0"/>
          <w:marBottom w:val="0"/>
          <w:divBdr>
            <w:top w:val="none" w:sz="0" w:space="0" w:color="auto"/>
            <w:left w:val="none" w:sz="0" w:space="0" w:color="auto"/>
            <w:bottom w:val="none" w:sz="0" w:space="0" w:color="auto"/>
            <w:right w:val="none" w:sz="0" w:space="0" w:color="auto"/>
          </w:divBdr>
        </w:div>
        <w:div w:id="2093773275">
          <w:marLeft w:val="0"/>
          <w:marRight w:val="0"/>
          <w:marTop w:val="0"/>
          <w:marBottom w:val="0"/>
          <w:divBdr>
            <w:top w:val="none" w:sz="0" w:space="0" w:color="auto"/>
            <w:left w:val="none" w:sz="0" w:space="0" w:color="auto"/>
            <w:bottom w:val="none" w:sz="0" w:space="0" w:color="auto"/>
            <w:right w:val="none" w:sz="0" w:space="0" w:color="auto"/>
          </w:divBdr>
        </w:div>
        <w:div w:id="191384400">
          <w:marLeft w:val="0"/>
          <w:marRight w:val="0"/>
          <w:marTop w:val="0"/>
          <w:marBottom w:val="0"/>
          <w:divBdr>
            <w:top w:val="none" w:sz="0" w:space="0" w:color="auto"/>
            <w:left w:val="none" w:sz="0" w:space="0" w:color="auto"/>
            <w:bottom w:val="none" w:sz="0" w:space="0" w:color="auto"/>
            <w:right w:val="none" w:sz="0" w:space="0" w:color="auto"/>
          </w:divBdr>
        </w:div>
        <w:div w:id="1617322876">
          <w:marLeft w:val="0"/>
          <w:marRight w:val="0"/>
          <w:marTop w:val="0"/>
          <w:marBottom w:val="0"/>
          <w:divBdr>
            <w:top w:val="none" w:sz="0" w:space="0" w:color="auto"/>
            <w:left w:val="none" w:sz="0" w:space="0" w:color="auto"/>
            <w:bottom w:val="none" w:sz="0" w:space="0" w:color="auto"/>
            <w:right w:val="none" w:sz="0" w:space="0" w:color="auto"/>
          </w:divBdr>
        </w:div>
        <w:div w:id="742920088">
          <w:marLeft w:val="0"/>
          <w:marRight w:val="0"/>
          <w:marTop w:val="0"/>
          <w:marBottom w:val="0"/>
          <w:divBdr>
            <w:top w:val="none" w:sz="0" w:space="0" w:color="auto"/>
            <w:left w:val="none" w:sz="0" w:space="0" w:color="auto"/>
            <w:bottom w:val="none" w:sz="0" w:space="0" w:color="auto"/>
            <w:right w:val="none" w:sz="0" w:space="0" w:color="auto"/>
          </w:divBdr>
        </w:div>
      </w:divsChild>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45783197">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28300234">
      <w:bodyDiv w:val="1"/>
      <w:marLeft w:val="0"/>
      <w:marRight w:val="0"/>
      <w:marTop w:val="0"/>
      <w:marBottom w:val="0"/>
      <w:divBdr>
        <w:top w:val="none" w:sz="0" w:space="0" w:color="auto"/>
        <w:left w:val="none" w:sz="0" w:space="0" w:color="auto"/>
        <w:bottom w:val="none" w:sz="0" w:space="0" w:color="auto"/>
        <w:right w:val="none" w:sz="0" w:space="0" w:color="auto"/>
      </w:divBdr>
      <w:divsChild>
        <w:div w:id="1339380197">
          <w:marLeft w:val="0"/>
          <w:marRight w:val="0"/>
          <w:marTop w:val="0"/>
          <w:marBottom w:val="0"/>
          <w:divBdr>
            <w:top w:val="none" w:sz="0" w:space="0" w:color="auto"/>
            <w:left w:val="none" w:sz="0" w:space="0" w:color="auto"/>
            <w:bottom w:val="none" w:sz="0" w:space="0" w:color="auto"/>
            <w:right w:val="none" w:sz="0" w:space="0" w:color="auto"/>
          </w:divBdr>
        </w:div>
        <w:div w:id="1511604848">
          <w:marLeft w:val="0"/>
          <w:marRight w:val="0"/>
          <w:marTop w:val="0"/>
          <w:marBottom w:val="0"/>
          <w:divBdr>
            <w:top w:val="none" w:sz="0" w:space="0" w:color="auto"/>
            <w:left w:val="none" w:sz="0" w:space="0" w:color="auto"/>
            <w:bottom w:val="none" w:sz="0" w:space="0" w:color="auto"/>
            <w:right w:val="none" w:sz="0" w:space="0" w:color="auto"/>
          </w:divBdr>
        </w:div>
        <w:div w:id="1284116319">
          <w:marLeft w:val="0"/>
          <w:marRight w:val="0"/>
          <w:marTop w:val="0"/>
          <w:marBottom w:val="0"/>
          <w:divBdr>
            <w:top w:val="none" w:sz="0" w:space="0" w:color="auto"/>
            <w:left w:val="none" w:sz="0" w:space="0" w:color="auto"/>
            <w:bottom w:val="none" w:sz="0" w:space="0" w:color="auto"/>
            <w:right w:val="none" w:sz="0" w:space="0" w:color="auto"/>
          </w:divBdr>
        </w:div>
        <w:div w:id="862983936">
          <w:marLeft w:val="0"/>
          <w:marRight w:val="0"/>
          <w:marTop w:val="0"/>
          <w:marBottom w:val="0"/>
          <w:divBdr>
            <w:top w:val="none" w:sz="0" w:space="0" w:color="auto"/>
            <w:left w:val="none" w:sz="0" w:space="0" w:color="auto"/>
            <w:bottom w:val="none" w:sz="0" w:space="0" w:color="auto"/>
            <w:right w:val="none" w:sz="0" w:space="0" w:color="auto"/>
          </w:divBdr>
        </w:div>
        <w:div w:id="1587153733">
          <w:marLeft w:val="0"/>
          <w:marRight w:val="0"/>
          <w:marTop w:val="0"/>
          <w:marBottom w:val="0"/>
          <w:divBdr>
            <w:top w:val="none" w:sz="0" w:space="0" w:color="auto"/>
            <w:left w:val="none" w:sz="0" w:space="0" w:color="auto"/>
            <w:bottom w:val="none" w:sz="0" w:space="0" w:color="auto"/>
            <w:right w:val="none" w:sz="0" w:space="0" w:color="auto"/>
          </w:divBdr>
        </w:div>
        <w:div w:id="1862936155">
          <w:marLeft w:val="0"/>
          <w:marRight w:val="0"/>
          <w:marTop w:val="0"/>
          <w:marBottom w:val="0"/>
          <w:divBdr>
            <w:top w:val="none" w:sz="0" w:space="0" w:color="auto"/>
            <w:left w:val="none" w:sz="0" w:space="0" w:color="auto"/>
            <w:bottom w:val="none" w:sz="0" w:space="0" w:color="auto"/>
            <w:right w:val="none" w:sz="0" w:space="0" w:color="auto"/>
          </w:divBdr>
        </w:div>
        <w:div w:id="2136681418">
          <w:marLeft w:val="0"/>
          <w:marRight w:val="0"/>
          <w:marTop w:val="0"/>
          <w:marBottom w:val="0"/>
          <w:divBdr>
            <w:top w:val="none" w:sz="0" w:space="0" w:color="auto"/>
            <w:left w:val="none" w:sz="0" w:space="0" w:color="auto"/>
            <w:bottom w:val="none" w:sz="0" w:space="0" w:color="auto"/>
            <w:right w:val="none" w:sz="0" w:space="0" w:color="auto"/>
          </w:divBdr>
        </w:div>
        <w:div w:id="1898318803">
          <w:marLeft w:val="0"/>
          <w:marRight w:val="0"/>
          <w:marTop w:val="0"/>
          <w:marBottom w:val="0"/>
          <w:divBdr>
            <w:top w:val="none" w:sz="0" w:space="0" w:color="auto"/>
            <w:left w:val="none" w:sz="0" w:space="0" w:color="auto"/>
            <w:bottom w:val="none" w:sz="0" w:space="0" w:color="auto"/>
            <w:right w:val="none" w:sz="0" w:space="0" w:color="auto"/>
          </w:divBdr>
        </w:div>
        <w:div w:id="841628294">
          <w:marLeft w:val="0"/>
          <w:marRight w:val="0"/>
          <w:marTop w:val="0"/>
          <w:marBottom w:val="0"/>
          <w:divBdr>
            <w:top w:val="none" w:sz="0" w:space="0" w:color="auto"/>
            <w:left w:val="none" w:sz="0" w:space="0" w:color="auto"/>
            <w:bottom w:val="none" w:sz="0" w:space="0" w:color="auto"/>
            <w:right w:val="none" w:sz="0" w:space="0" w:color="auto"/>
          </w:divBdr>
        </w:div>
        <w:div w:id="1121848752">
          <w:marLeft w:val="0"/>
          <w:marRight w:val="0"/>
          <w:marTop w:val="0"/>
          <w:marBottom w:val="0"/>
          <w:divBdr>
            <w:top w:val="none" w:sz="0" w:space="0" w:color="auto"/>
            <w:left w:val="none" w:sz="0" w:space="0" w:color="auto"/>
            <w:bottom w:val="none" w:sz="0" w:space="0" w:color="auto"/>
            <w:right w:val="none" w:sz="0" w:space="0" w:color="auto"/>
          </w:divBdr>
        </w:div>
        <w:div w:id="717246007">
          <w:marLeft w:val="0"/>
          <w:marRight w:val="0"/>
          <w:marTop w:val="0"/>
          <w:marBottom w:val="0"/>
          <w:divBdr>
            <w:top w:val="none" w:sz="0" w:space="0" w:color="auto"/>
            <w:left w:val="none" w:sz="0" w:space="0" w:color="auto"/>
            <w:bottom w:val="none" w:sz="0" w:space="0" w:color="auto"/>
            <w:right w:val="none" w:sz="0" w:space="0" w:color="auto"/>
          </w:divBdr>
        </w:div>
        <w:div w:id="1881817068">
          <w:marLeft w:val="0"/>
          <w:marRight w:val="0"/>
          <w:marTop w:val="0"/>
          <w:marBottom w:val="0"/>
          <w:divBdr>
            <w:top w:val="none" w:sz="0" w:space="0" w:color="auto"/>
            <w:left w:val="none" w:sz="0" w:space="0" w:color="auto"/>
            <w:bottom w:val="none" w:sz="0" w:space="0" w:color="auto"/>
            <w:right w:val="none" w:sz="0" w:space="0" w:color="auto"/>
          </w:divBdr>
          <w:divsChild>
            <w:div w:id="1038823954">
              <w:marLeft w:val="0"/>
              <w:marRight w:val="0"/>
              <w:marTop w:val="0"/>
              <w:marBottom w:val="0"/>
              <w:divBdr>
                <w:top w:val="none" w:sz="0" w:space="0" w:color="auto"/>
                <w:left w:val="none" w:sz="0" w:space="0" w:color="auto"/>
                <w:bottom w:val="none" w:sz="0" w:space="0" w:color="auto"/>
                <w:right w:val="none" w:sz="0" w:space="0" w:color="auto"/>
              </w:divBdr>
            </w:div>
            <w:div w:id="1484656801">
              <w:marLeft w:val="0"/>
              <w:marRight w:val="0"/>
              <w:marTop w:val="0"/>
              <w:marBottom w:val="0"/>
              <w:divBdr>
                <w:top w:val="none" w:sz="0" w:space="0" w:color="auto"/>
                <w:left w:val="none" w:sz="0" w:space="0" w:color="auto"/>
                <w:bottom w:val="none" w:sz="0" w:space="0" w:color="auto"/>
                <w:right w:val="none" w:sz="0" w:space="0" w:color="auto"/>
              </w:divBdr>
              <w:divsChild>
                <w:div w:id="217863666">
                  <w:marLeft w:val="0"/>
                  <w:marRight w:val="0"/>
                  <w:marTop w:val="0"/>
                  <w:marBottom w:val="0"/>
                  <w:divBdr>
                    <w:top w:val="none" w:sz="0" w:space="0" w:color="auto"/>
                    <w:left w:val="none" w:sz="0" w:space="0" w:color="auto"/>
                    <w:bottom w:val="none" w:sz="0" w:space="0" w:color="auto"/>
                    <w:right w:val="none" w:sz="0" w:space="0" w:color="auto"/>
                  </w:divBdr>
                </w:div>
                <w:div w:id="19451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359174">
      <w:bodyDiv w:val="1"/>
      <w:marLeft w:val="0"/>
      <w:marRight w:val="0"/>
      <w:marTop w:val="0"/>
      <w:marBottom w:val="0"/>
      <w:divBdr>
        <w:top w:val="none" w:sz="0" w:space="0" w:color="auto"/>
        <w:left w:val="none" w:sz="0" w:space="0" w:color="auto"/>
        <w:bottom w:val="none" w:sz="0" w:space="0" w:color="auto"/>
        <w:right w:val="none" w:sz="0" w:space="0" w:color="auto"/>
      </w:divBdr>
      <w:divsChild>
        <w:div w:id="86539888">
          <w:marLeft w:val="0"/>
          <w:marRight w:val="0"/>
          <w:marTop w:val="0"/>
          <w:marBottom w:val="0"/>
          <w:divBdr>
            <w:top w:val="none" w:sz="0" w:space="0" w:color="auto"/>
            <w:left w:val="none" w:sz="0" w:space="0" w:color="auto"/>
            <w:bottom w:val="none" w:sz="0" w:space="0" w:color="auto"/>
            <w:right w:val="none" w:sz="0" w:space="0" w:color="auto"/>
          </w:divBdr>
        </w:div>
        <w:div w:id="1200359606">
          <w:marLeft w:val="0"/>
          <w:marRight w:val="0"/>
          <w:marTop w:val="0"/>
          <w:marBottom w:val="0"/>
          <w:divBdr>
            <w:top w:val="none" w:sz="0" w:space="0" w:color="auto"/>
            <w:left w:val="none" w:sz="0" w:space="0" w:color="auto"/>
            <w:bottom w:val="none" w:sz="0" w:space="0" w:color="auto"/>
            <w:right w:val="none" w:sz="0" w:space="0" w:color="auto"/>
          </w:divBdr>
        </w:div>
        <w:div w:id="826943000">
          <w:marLeft w:val="0"/>
          <w:marRight w:val="0"/>
          <w:marTop w:val="0"/>
          <w:marBottom w:val="0"/>
          <w:divBdr>
            <w:top w:val="none" w:sz="0" w:space="0" w:color="auto"/>
            <w:left w:val="none" w:sz="0" w:space="0" w:color="auto"/>
            <w:bottom w:val="none" w:sz="0" w:space="0" w:color="auto"/>
            <w:right w:val="none" w:sz="0" w:space="0" w:color="auto"/>
          </w:divBdr>
        </w:div>
        <w:div w:id="20252524">
          <w:marLeft w:val="0"/>
          <w:marRight w:val="0"/>
          <w:marTop w:val="0"/>
          <w:marBottom w:val="0"/>
          <w:divBdr>
            <w:top w:val="none" w:sz="0" w:space="0" w:color="auto"/>
            <w:left w:val="none" w:sz="0" w:space="0" w:color="auto"/>
            <w:bottom w:val="none" w:sz="0" w:space="0" w:color="auto"/>
            <w:right w:val="none" w:sz="0" w:space="0" w:color="auto"/>
          </w:divBdr>
        </w:div>
        <w:div w:id="1222475269">
          <w:marLeft w:val="0"/>
          <w:marRight w:val="0"/>
          <w:marTop w:val="0"/>
          <w:marBottom w:val="0"/>
          <w:divBdr>
            <w:top w:val="none" w:sz="0" w:space="0" w:color="auto"/>
            <w:left w:val="none" w:sz="0" w:space="0" w:color="auto"/>
            <w:bottom w:val="none" w:sz="0" w:space="0" w:color="auto"/>
            <w:right w:val="none" w:sz="0" w:space="0" w:color="auto"/>
          </w:divBdr>
        </w:div>
        <w:div w:id="108625753">
          <w:marLeft w:val="0"/>
          <w:marRight w:val="0"/>
          <w:marTop w:val="0"/>
          <w:marBottom w:val="0"/>
          <w:divBdr>
            <w:top w:val="none" w:sz="0" w:space="0" w:color="auto"/>
            <w:left w:val="none" w:sz="0" w:space="0" w:color="auto"/>
            <w:bottom w:val="none" w:sz="0" w:space="0" w:color="auto"/>
            <w:right w:val="none" w:sz="0" w:space="0" w:color="auto"/>
          </w:divBdr>
          <w:divsChild>
            <w:div w:id="200286174">
              <w:marLeft w:val="0"/>
              <w:marRight w:val="0"/>
              <w:marTop w:val="0"/>
              <w:marBottom w:val="0"/>
              <w:divBdr>
                <w:top w:val="none" w:sz="0" w:space="0" w:color="auto"/>
                <w:left w:val="none" w:sz="0" w:space="0" w:color="auto"/>
                <w:bottom w:val="none" w:sz="0" w:space="0" w:color="auto"/>
                <w:right w:val="none" w:sz="0" w:space="0" w:color="auto"/>
              </w:divBdr>
              <w:divsChild>
                <w:div w:id="1367872664">
                  <w:marLeft w:val="0"/>
                  <w:marRight w:val="0"/>
                  <w:marTop w:val="0"/>
                  <w:marBottom w:val="0"/>
                  <w:divBdr>
                    <w:top w:val="none" w:sz="0" w:space="0" w:color="auto"/>
                    <w:left w:val="none" w:sz="0" w:space="0" w:color="auto"/>
                    <w:bottom w:val="none" w:sz="0" w:space="0" w:color="auto"/>
                    <w:right w:val="none" w:sz="0" w:space="0" w:color="auto"/>
                  </w:divBdr>
                  <w:divsChild>
                    <w:div w:id="97448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22659572">
      <w:bodyDiv w:val="1"/>
      <w:marLeft w:val="0"/>
      <w:marRight w:val="0"/>
      <w:marTop w:val="0"/>
      <w:marBottom w:val="0"/>
      <w:divBdr>
        <w:top w:val="none" w:sz="0" w:space="0" w:color="auto"/>
        <w:left w:val="none" w:sz="0" w:space="0" w:color="auto"/>
        <w:bottom w:val="none" w:sz="0" w:space="0" w:color="auto"/>
        <w:right w:val="none" w:sz="0" w:space="0" w:color="auto"/>
      </w:divBdr>
      <w:divsChild>
        <w:div w:id="1523590457">
          <w:marLeft w:val="0"/>
          <w:marRight w:val="0"/>
          <w:marTop w:val="0"/>
          <w:marBottom w:val="0"/>
          <w:divBdr>
            <w:top w:val="none" w:sz="0" w:space="0" w:color="auto"/>
            <w:left w:val="none" w:sz="0" w:space="0" w:color="auto"/>
            <w:bottom w:val="none" w:sz="0" w:space="0" w:color="auto"/>
            <w:right w:val="none" w:sz="0" w:space="0" w:color="auto"/>
          </w:divBdr>
        </w:div>
        <w:div w:id="297032919">
          <w:marLeft w:val="0"/>
          <w:marRight w:val="0"/>
          <w:marTop w:val="0"/>
          <w:marBottom w:val="0"/>
          <w:divBdr>
            <w:top w:val="none" w:sz="0" w:space="0" w:color="auto"/>
            <w:left w:val="none" w:sz="0" w:space="0" w:color="auto"/>
            <w:bottom w:val="none" w:sz="0" w:space="0" w:color="auto"/>
            <w:right w:val="none" w:sz="0" w:space="0" w:color="auto"/>
          </w:divBdr>
          <w:divsChild>
            <w:div w:id="1405181945">
              <w:marLeft w:val="0"/>
              <w:marRight w:val="0"/>
              <w:marTop w:val="0"/>
              <w:marBottom w:val="0"/>
              <w:divBdr>
                <w:top w:val="none" w:sz="0" w:space="0" w:color="auto"/>
                <w:left w:val="none" w:sz="0" w:space="0" w:color="auto"/>
                <w:bottom w:val="none" w:sz="0" w:space="0" w:color="auto"/>
                <w:right w:val="none" w:sz="0" w:space="0" w:color="auto"/>
              </w:divBdr>
            </w:div>
            <w:div w:id="200003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386">
      <w:bodyDiv w:val="1"/>
      <w:marLeft w:val="0"/>
      <w:marRight w:val="0"/>
      <w:marTop w:val="0"/>
      <w:marBottom w:val="0"/>
      <w:divBdr>
        <w:top w:val="none" w:sz="0" w:space="0" w:color="auto"/>
        <w:left w:val="none" w:sz="0" w:space="0" w:color="auto"/>
        <w:bottom w:val="none" w:sz="0" w:space="0" w:color="auto"/>
        <w:right w:val="none" w:sz="0" w:space="0" w:color="auto"/>
      </w:divBdr>
    </w:div>
    <w:div w:id="1378627966">
      <w:bodyDiv w:val="1"/>
      <w:marLeft w:val="0"/>
      <w:marRight w:val="0"/>
      <w:marTop w:val="0"/>
      <w:marBottom w:val="0"/>
      <w:divBdr>
        <w:top w:val="none" w:sz="0" w:space="0" w:color="auto"/>
        <w:left w:val="none" w:sz="0" w:space="0" w:color="auto"/>
        <w:bottom w:val="none" w:sz="0" w:space="0" w:color="auto"/>
        <w:right w:val="none" w:sz="0" w:space="0" w:color="auto"/>
      </w:divBdr>
      <w:divsChild>
        <w:div w:id="309018724">
          <w:marLeft w:val="0"/>
          <w:marRight w:val="0"/>
          <w:marTop w:val="0"/>
          <w:marBottom w:val="0"/>
          <w:divBdr>
            <w:top w:val="none" w:sz="0" w:space="0" w:color="auto"/>
            <w:left w:val="none" w:sz="0" w:space="0" w:color="auto"/>
            <w:bottom w:val="none" w:sz="0" w:space="0" w:color="auto"/>
            <w:right w:val="none" w:sz="0" w:space="0" w:color="auto"/>
          </w:divBdr>
        </w:div>
        <w:div w:id="1376083736">
          <w:marLeft w:val="0"/>
          <w:marRight w:val="0"/>
          <w:marTop w:val="0"/>
          <w:marBottom w:val="0"/>
          <w:divBdr>
            <w:top w:val="none" w:sz="0" w:space="0" w:color="auto"/>
            <w:left w:val="none" w:sz="0" w:space="0" w:color="auto"/>
            <w:bottom w:val="none" w:sz="0" w:space="0" w:color="auto"/>
            <w:right w:val="none" w:sz="0" w:space="0" w:color="auto"/>
          </w:divBdr>
        </w:div>
        <w:div w:id="1318728744">
          <w:marLeft w:val="0"/>
          <w:marRight w:val="0"/>
          <w:marTop w:val="0"/>
          <w:marBottom w:val="0"/>
          <w:divBdr>
            <w:top w:val="none" w:sz="0" w:space="0" w:color="auto"/>
            <w:left w:val="none" w:sz="0" w:space="0" w:color="auto"/>
            <w:bottom w:val="none" w:sz="0" w:space="0" w:color="auto"/>
            <w:right w:val="none" w:sz="0" w:space="0" w:color="auto"/>
          </w:divBdr>
        </w:div>
        <w:div w:id="1909727206">
          <w:marLeft w:val="0"/>
          <w:marRight w:val="0"/>
          <w:marTop w:val="0"/>
          <w:marBottom w:val="0"/>
          <w:divBdr>
            <w:top w:val="none" w:sz="0" w:space="0" w:color="auto"/>
            <w:left w:val="none" w:sz="0" w:space="0" w:color="auto"/>
            <w:bottom w:val="none" w:sz="0" w:space="0" w:color="auto"/>
            <w:right w:val="none" w:sz="0" w:space="0" w:color="auto"/>
          </w:divBdr>
        </w:div>
        <w:div w:id="1005282930">
          <w:marLeft w:val="0"/>
          <w:marRight w:val="0"/>
          <w:marTop w:val="0"/>
          <w:marBottom w:val="0"/>
          <w:divBdr>
            <w:top w:val="none" w:sz="0" w:space="0" w:color="auto"/>
            <w:left w:val="none" w:sz="0" w:space="0" w:color="auto"/>
            <w:bottom w:val="none" w:sz="0" w:space="0" w:color="auto"/>
            <w:right w:val="none" w:sz="0" w:space="0" w:color="auto"/>
          </w:divBdr>
          <w:divsChild>
            <w:div w:id="208464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65104">
      <w:bodyDiv w:val="1"/>
      <w:marLeft w:val="0"/>
      <w:marRight w:val="0"/>
      <w:marTop w:val="0"/>
      <w:marBottom w:val="0"/>
      <w:divBdr>
        <w:top w:val="none" w:sz="0" w:space="0" w:color="auto"/>
        <w:left w:val="none" w:sz="0" w:space="0" w:color="auto"/>
        <w:bottom w:val="none" w:sz="0" w:space="0" w:color="auto"/>
        <w:right w:val="none" w:sz="0" w:space="0" w:color="auto"/>
      </w:divBdr>
      <w:divsChild>
        <w:div w:id="611976504">
          <w:marLeft w:val="0"/>
          <w:marRight w:val="0"/>
          <w:marTop w:val="0"/>
          <w:marBottom w:val="0"/>
          <w:divBdr>
            <w:top w:val="none" w:sz="0" w:space="0" w:color="auto"/>
            <w:left w:val="none" w:sz="0" w:space="0" w:color="auto"/>
            <w:bottom w:val="none" w:sz="0" w:space="0" w:color="auto"/>
            <w:right w:val="none" w:sz="0" w:space="0" w:color="auto"/>
          </w:divBdr>
        </w:div>
        <w:div w:id="1034423058">
          <w:marLeft w:val="0"/>
          <w:marRight w:val="0"/>
          <w:marTop w:val="0"/>
          <w:marBottom w:val="0"/>
          <w:divBdr>
            <w:top w:val="none" w:sz="0" w:space="0" w:color="auto"/>
            <w:left w:val="none" w:sz="0" w:space="0" w:color="auto"/>
            <w:bottom w:val="none" w:sz="0" w:space="0" w:color="auto"/>
            <w:right w:val="none" w:sz="0" w:space="0" w:color="auto"/>
          </w:divBdr>
        </w:div>
        <w:div w:id="1312712296">
          <w:marLeft w:val="0"/>
          <w:marRight w:val="0"/>
          <w:marTop w:val="0"/>
          <w:marBottom w:val="0"/>
          <w:divBdr>
            <w:top w:val="none" w:sz="0" w:space="0" w:color="auto"/>
            <w:left w:val="none" w:sz="0" w:space="0" w:color="auto"/>
            <w:bottom w:val="none" w:sz="0" w:space="0" w:color="auto"/>
            <w:right w:val="none" w:sz="0" w:space="0" w:color="auto"/>
          </w:divBdr>
        </w:div>
        <w:div w:id="1042902820">
          <w:marLeft w:val="0"/>
          <w:marRight w:val="0"/>
          <w:marTop w:val="0"/>
          <w:marBottom w:val="0"/>
          <w:divBdr>
            <w:top w:val="none" w:sz="0" w:space="0" w:color="auto"/>
            <w:left w:val="none" w:sz="0" w:space="0" w:color="auto"/>
            <w:bottom w:val="none" w:sz="0" w:space="0" w:color="auto"/>
            <w:right w:val="none" w:sz="0" w:space="0" w:color="auto"/>
          </w:divBdr>
          <w:divsChild>
            <w:div w:id="1272781168">
              <w:marLeft w:val="0"/>
              <w:marRight w:val="0"/>
              <w:marTop w:val="0"/>
              <w:marBottom w:val="0"/>
              <w:divBdr>
                <w:top w:val="none" w:sz="0" w:space="0" w:color="auto"/>
                <w:left w:val="none" w:sz="0" w:space="0" w:color="auto"/>
                <w:bottom w:val="none" w:sz="0" w:space="0" w:color="auto"/>
                <w:right w:val="none" w:sz="0" w:space="0" w:color="auto"/>
              </w:divBdr>
            </w:div>
            <w:div w:id="18346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245650">
      <w:bodyDiv w:val="1"/>
      <w:marLeft w:val="0"/>
      <w:marRight w:val="0"/>
      <w:marTop w:val="0"/>
      <w:marBottom w:val="0"/>
      <w:divBdr>
        <w:top w:val="none" w:sz="0" w:space="0" w:color="auto"/>
        <w:left w:val="none" w:sz="0" w:space="0" w:color="auto"/>
        <w:bottom w:val="none" w:sz="0" w:space="0" w:color="auto"/>
        <w:right w:val="none" w:sz="0" w:space="0" w:color="auto"/>
      </w:divBdr>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5247776">
      <w:bodyDiv w:val="1"/>
      <w:marLeft w:val="0"/>
      <w:marRight w:val="0"/>
      <w:marTop w:val="0"/>
      <w:marBottom w:val="0"/>
      <w:divBdr>
        <w:top w:val="none" w:sz="0" w:space="0" w:color="auto"/>
        <w:left w:val="none" w:sz="0" w:space="0" w:color="auto"/>
        <w:bottom w:val="none" w:sz="0" w:space="0" w:color="auto"/>
        <w:right w:val="none" w:sz="0" w:space="0" w:color="auto"/>
      </w:divBdr>
      <w:divsChild>
        <w:div w:id="1830511760">
          <w:marLeft w:val="0"/>
          <w:marRight w:val="0"/>
          <w:marTop w:val="0"/>
          <w:marBottom w:val="0"/>
          <w:divBdr>
            <w:top w:val="none" w:sz="0" w:space="0" w:color="auto"/>
            <w:left w:val="none" w:sz="0" w:space="0" w:color="auto"/>
            <w:bottom w:val="none" w:sz="0" w:space="0" w:color="auto"/>
            <w:right w:val="none" w:sz="0" w:space="0" w:color="auto"/>
          </w:divBdr>
        </w:div>
        <w:div w:id="439882563">
          <w:marLeft w:val="0"/>
          <w:marRight w:val="0"/>
          <w:marTop w:val="0"/>
          <w:marBottom w:val="0"/>
          <w:divBdr>
            <w:top w:val="none" w:sz="0" w:space="0" w:color="auto"/>
            <w:left w:val="none" w:sz="0" w:space="0" w:color="auto"/>
            <w:bottom w:val="none" w:sz="0" w:space="0" w:color="auto"/>
            <w:right w:val="none" w:sz="0" w:space="0" w:color="auto"/>
          </w:divBdr>
        </w:div>
        <w:div w:id="2059628244">
          <w:marLeft w:val="0"/>
          <w:marRight w:val="0"/>
          <w:marTop w:val="0"/>
          <w:marBottom w:val="0"/>
          <w:divBdr>
            <w:top w:val="none" w:sz="0" w:space="0" w:color="auto"/>
            <w:left w:val="none" w:sz="0" w:space="0" w:color="auto"/>
            <w:bottom w:val="none" w:sz="0" w:space="0" w:color="auto"/>
            <w:right w:val="none" w:sz="0" w:space="0" w:color="auto"/>
          </w:divBdr>
        </w:div>
        <w:div w:id="1925409407">
          <w:marLeft w:val="0"/>
          <w:marRight w:val="0"/>
          <w:marTop w:val="0"/>
          <w:marBottom w:val="0"/>
          <w:divBdr>
            <w:top w:val="none" w:sz="0" w:space="0" w:color="auto"/>
            <w:left w:val="none" w:sz="0" w:space="0" w:color="auto"/>
            <w:bottom w:val="none" w:sz="0" w:space="0" w:color="auto"/>
            <w:right w:val="none" w:sz="0" w:space="0" w:color="auto"/>
          </w:divBdr>
        </w:div>
        <w:div w:id="588346372">
          <w:marLeft w:val="0"/>
          <w:marRight w:val="0"/>
          <w:marTop w:val="0"/>
          <w:marBottom w:val="0"/>
          <w:divBdr>
            <w:top w:val="none" w:sz="0" w:space="0" w:color="auto"/>
            <w:left w:val="none" w:sz="0" w:space="0" w:color="auto"/>
            <w:bottom w:val="none" w:sz="0" w:space="0" w:color="auto"/>
            <w:right w:val="none" w:sz="0" w:space="0" w:color="auto"/>
          </w:divBdr>
        </w:div>
        <w:div w:id="1708723146">
          <w:marLeft w:val="0"/>
          <w:marRight w:val="0"/>
          <w:marTop w:val="0"/>
          <w:marBottom w:val="0"/>
          <w:divBdr>
            <w:top w:val="none" w:sz="0" w:space="0" w:color="auto"/>
            <w:left w:val="none" w:sz="0" w:space="0" w:color="auto"/>
            <w:bottom w:val="none" w:sz="0" w:space="0" w:color="auto"/>
            <w:right w:val="none" w:sz="0" w:space="0" w:color="auto"/>
          </w:divBdr>
        </w:div>
        <w:div w:id="1094589921">
          <w:marLeft w:val="0"/>
          <w:marRight w:val="0"/>
          <w:marTop w:val="0"/>
          <w:marBottom w:val="0"/>
          <w:divBdr>
            <w:top w:val="none" w:sz="0" w:space="0" w:color="auto"/>
            <w:left w:val="none" w:sz="0" w:space="0" w:color="auto"/>
            <w:bottom w:val="none" w:sz="0" w:space="0" w:color="auto"/>
            <w:right w:val="none" w:sz="0" w:space="0" w:color="auto"/>
          </w:divBdr>
        </w:div>
      </w:divsChild>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08587439">
      <w:bodyDiv w:val="1"/>
      <w:marLeft w:val="0"/>
      <w:marRight w:val="0"/>
      <w:marTop w:val="0"/>
      <w:marBottom w:val="0"/>
      <w:divBdr>
        <w:top w:val="none" w:sz="0" w:space="0" w:color="auto"/>
        <w:left w:val="none" w:sz="0" w:space="0" w:color="auto"/>
        <w:bottom w:val="none" w:sz="0" w:space="0" w:color="auto"/>
        <w:right w:val="none" w:sz="0" w:space="0" w:color="auto"/>
      </w:divBdr>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48026">
      <w:bodyDiv w:val="1"/>
      <w:marLeft w:val="0"/>
      <w:marRight w:val="0"/>
      <w:marTop w:val="0"/>
      <w:marBottom w:val="0"/>
      <w:divBdr>
        <w:top w:val="none" w:sz="0" w:space="0" w:color="auto"/>
        <w:left w:val="none" w:sz="0" w:space="0" w:color="auto"/>
        <w:bottom w:val="none" w:sz="0" w:space="0" w:color="auto"/>
        <w:right w:val="none" w:sz="0" w:space="0" w:color="auto"/>
      </w:divBdr>
      <w:divsChild>
        <w:div w:id="67071909">
          <w:marLeft w:val="0"/>
          <w:marRight w:val="0"/>
          <w:marTop w:val="0"/>
          <w:marBottom w:val="0"/>
          <w:divBdr>
            <w:top w:val="none" w:sz="0" w:space="0" w:color="auto"/>
            <w:left w:val="none" w:sz="0" w:space="0" w:color="auto"/>
            <w:bottom w:val="none" w:sz="0" w:space="0" w:color="auto"/>
            <w:right w:val="none" w:sz="0" w:space="0" w:color="auto"/>
          </w:divBdr>
        </w:div>
        <w:div w:id="1301157288">
          <w:marLeft w:val="0"/>
          <w:marRight w:val="0"/>
          <w:marTop w:val="0"/>
          <w:marBottom w:val="0"/>
          <w:divBdr>
            <w:top w:val="none" w:sz="0" w:space="0" w:color="auto"/>
            <w:left w:val="none" w:sz="0" w:space="0" w:color="auto"/>
            <w:bottom w:val="none" w:sz="0" w:space="0" w:color="auto"/>
            <w:right w:val="none" w:sz="0" w:space="0" w:color="auto"/>
          </w:divBdr>
          <w:divsChild>
            <w:div w:id="13529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3760">
      <w:bodyDiv w:val="1"/>
      <w:marLeft w:val="0"/>
      <w:marRight w:val="0"/>
      <w:marTop w:val="0"/>
      <w:marBottom w:val="0"/>
      <w:divBdr>
        <w:top w:val="none" w:sz="0" w:space="0" w:color="auto"/>
        <w:left w:val="none" w:sz="0" w:space="0" w:color="auto"/>
        <w:bottom w:val="none" w:sz="0" w:space="0" w:color="auto"/>
        <w:right w:val="none" w:sz="0" w:space="0" w:color="auto"/>
      </w:divBdr>
      <w:divsChild>
        <w:div w:id="1584342145">
          <w:marLeft w:val="0"/>
          <w:marRight w:val="0"/>
          <w:marTop w:val="0"/>
          <w:marBottom w:val="0"/>
          <w:divBdr>
            <w:top w:val="none" w:sz="0" w:space="0" w:color="auto"/>
            <w:left w:val="none" w:sz="0" w:space="0" w:color="auto"/>
            <w:bottom w:val="none" w:sz="0" w:space="0" w:color="auto"/>
            <w:right w:val="none" w:sz="0" w:space="0" w:color="auto"/>
          </w:divBdr>
        </w:div>
        <w:div w:id="240262245">
          <w:marLeft w:val="0"/>
          <w:marRight w:val="0"/>
          <w:marTop w:val="0"/>
          <w:marBottom w:val="0"/>
          <w:divBdr>
            <w:top w:val="none" w:sz="0" w:space="0" w:color="auto"/>
            <w:left w:val="none" w:sz="0" w:space="0" w:color="auto"/>
            <w:bottom w:val="none" w:sz="0" w:space="0" w:color="auto"/>
            <w:right w:val="none" w:sz="0" w:space="0" w:color="auto"/>
          </w:divBdr>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4356010">
      <w:bodyDiv w:val="1"/>
      <w:marLeft w:val="0"/>
      <w:marRight w:val="0"/>
      <w:marTop w:val="0"/>
      <w:marBottom w:val="0"/>
      <w:divBdr>
        <w:top w:val="none" w:sz="0" w:space="0" w:color="auto"/>
        <w:left w:val="none" w:sz="0" w:space="0" w:color="auto"/>
        <w:bottom w:val="none" w:sz="0" w:space="0" w:color="auto"/>
        <w:right w:val="none" w:sz="0" w:space="0" w:color="auto"/>
      </w:divBdr>
      <w:divsChild>
        <w:div w:id="580988949">
          <w:marLeft w:val="0"/>
          <w:marRight w:val="0"/>
          <w:marTop w:val="0"/>
          <w:marBottom w:val="0"/>
          <w:divBdr>
            <w:top w:val="none" w:sz="0" w:space="0" w:color="auto"/>
            <w:left w:val="none" w:sz="0" w:space="0" w:color="auto"/>
            <w:bottom w:val="none" w:sz="0" w:space="0" w:color="auto"/>
            <w:right w:val="none" w:sz="0" w:space="0" w:color="auto"/>
          </w:divBdr>
        </w:div>
        <w:div w:id="805974317">
          <w:marLeft w:val="0"/>
          <w:marRight w:val="0"/>
          <w:marTop w:val="0"/>
          <w:marBottom w:val="0"/>
          <w:divBdr>
            <w:top w:val="none" w:sz="0" w:space="0" w:color="auto"/>
            <w:left w:val="none" w:sz="0" w:space="0" w:color="auto"/>
            <w:bottom w:val="none" w:sz="0" w:space="0" w:color="auto"/>
            <w:right w:val="none" w:sz="0" w:space="0" w:color="auto"/>
          </w:divBdr>
        </w:div>
        <w:div w:id="688797509">
          <w:marLeft w:val="0"/>
          <w:marRight w:val="0"/>
          <w:marTop w:val="0"/>
          <w:marBottom w:val="0"/>
          <w:divBdr>
            <w:top w:val="none" w:sz="0" w:space="0" w:color="auto"/>
            <w:left w:val="none" w:sz="0" w:space="0" w:color="auto"/>
            <w:bottom w:val="none" w:sz="0" w:space="0" w:color="auto"/>
            <w:right w:val="none" w:sz="0" w:space="0" w:color="auto"/>
          </w:divBdr>
        </w:div>
        <w:div w:id="1480150207">
          <w:marLeft w:val="0"/>
          <w:marRight w:val="0"/>
          <w:marTop w:val="0"/>
          <w:marBottom w:val="0"/>
          <w:divBdr>
            <w:top w:val="none" w:sz="0" w:space="0" w:color="auto"/>
            <w:left w:val="none" w:sz="0" w:space="0" w:color="auto"/>
            <w:bottom w:val="none" w:sz="0" w:space="0" w:color="auto"/>
            <w:right w:val="none" w:sz="0" w:space="0" w:color="auto"/>
          </w:divBdr>
        </w:div>
      </w:divsChild>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4943925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88566717">
      <w:bodyDiv w:val="1"/>
      <w:marLeft w:val="0"/>
      <w:marRight w:val="0"/>
      <w:marTop w:val="0"/>
      <w:marBottom w:val="0"/>
      <w:divBdr>
        <w:top w:val="none" w:sz="0" w:space="0" w:color="auto"/>
        <w:left w:val="none" w:sz="0" w:space="0" w:color="auto"/>
        <w:bottom w:val="none" w:sz="0" w:space="0" w:color="auto"/>
        <w:right w:val="none" w:sz="0" w:space="0" w:color="auto"/>
      </w:divBdr>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3949382">
      <w:bodyDiv w:val="1"/>
      <w:marLeft w:val="0"/>
      <w:marRight w:val="0"/>
      <w:marTop w:val="0"/>
      <w:marBottom w:val="0"/>
      <w:divBdr>
        <w:top w:val="none" w:sz="0" w:space="0" w:color="auto"/>
        <w:left w:val="none" w:sz="0" w:space="0" w:color="auto"/>
        <w:bottom w:val="none" w:sz="0" w:space="0" w:color="auto"/>
        <w:right w:val="none" w:sz="0" w:space="0" w:color="auto"/>
      </w:divBdr>
      <w:divsChild>
        <w:div w:id="1684014624">
          <w:marLeft w:val="0"/>
          <w:marRight w:val="0"/>
          <w:marTop w:val="0"/>
          <w:marBottom w:val="0"/>
          <w:divBdr>
            <w:top w:val="none" w:sz="0" w:space="0" w:color="auto"/>
            <w:left w:val="none" w:sz="0" w:space="0" w:color="auto"/>
            <w:bottom w:val="none" w:sz="0" w:space="0" w:color="auto"/>
            <w:right w:val="none" w:sz="0" w:space="0" w:color="auto"/>
          </w:divBdr>
        </w:div>
        <w:div w:id="296640745">
          <w:marLeft w:val="0"/>
          <w:marRight w:val="0"/>
          <w:marTop w:val="0"/>
          <w:marBottom w:val="0"/>
          <w:divBdr>
            <w:top w:val="none" w:sz="0" w:space="0" w:color="auto"/>
            <w:left w:val="none" w:sz="0" w:space="0" w:color="auto"/>
            <w:bottom w:val="none" w:sz="0" w:space="0" w:color="auto"/>
            <w:right w:val="none" w:sz="0" w:space="0" w:color="auto"/>
          </w:divBdr>
        </w:div>
        <w:div w:id="1832983600">
          <w:marLeft w:val="0"/>
          <w:marRight w:val="0"/>
          <w:marTop w:val="0"/>
          <w:marBottom w:val="0"/>
          <w:divBdr>
            <w:top w:val="none" w:sz="0" w:space="0" w:color="auto"/>
            <w:left w:val="none" w:sz="0" w:space="0" w:color="auto"/>
            <w:bottom w:val="none" w:sz="0" w:space="0" w:color="auto"/>
            <w:right w:val="none" w:sz="0" w:space="0" w:color="auto"/>
          </w:divBdr>
        </w:div>
        <w:div w:id="1795367730">
          <w:marLeft w:val="0"/>
          <w:marRight w:val="0"/>
          <w:marTop w:val="0"/>
          <w:marBottom w:val="0"/>
          <w:divBdr>
            <w:top w:val="none" w:sz="0" w:space="0" w:color="auto"/>
            <w:left w:val="none" w:sz="0" w:space="0" w:color="auto"/>
            <w:bottom w:val="none" w:sz="0" w:space="0" w:color="auto"/>
            <w:right w:val="none" w:sz="0" w:space="0" w:color="auto"/>
          </w:divBdr>
        </w:div>
        <w:div w:id="936980098">
          <w:marLeft w:val="0"/>
          <w:marRight w:val="0"/>
          <w:marTop w:val="0"/>
          <w:marBottom w:val="0"/>
          <w:divBdr>
            <w:top w:val="none" w:sz="0" w:space="0" w:color="auto"/>
            <w:left w:val="none" w:sz="0" w:space="0" w:color="auto"/>
            <w:bottom w:val="none" w:sz="0" w:space="0" w:color="auto"/>
            <w:right w:val="none" w:sz="0" w:space="0" w:color="auto"/>
          </w:divBdr>
        </w:div>
        <w:div w:id="950667372">
          <w:marLeft w:val="0"/>
          <w:marRight w:val="0"/>
          <w:marTop w:val="0"/>
          <w:marBottom w:val="0"/>
          <w:divBdr>
            <w:top w:val="none" w:sz="0" w:space="0" w:color="auto"/>
            <w:left w:val="none" w:sz="0" w:space="0" w:color="auto"/>
            <w:bottom w:val="none" w:sz="0" w:space="0" w:color="auto"/>
            <w:right w:val="none" w:sz="0" w:space="0" w:color="auto"/>
          </w:divBdr>
        </w:div>
        <w:div w:id="420839007">
          <w:marLeft w:val="0"/>
          <w:marRight w:val="0"/>
          <w:marTop w:val="0"/>
          <w:marBottom w:val="0"/>
          <w:divBdr>
            <w:top w:val="none" w:sz="0" w:space="0" w:color="auto"/>
            <w:left w:val="none" w:sz="0" w:space="0" w:color="auto"/>
            <w:bottom w:val="none" w:sz="0" w:space="0" w:color="auto"/>
            <w:right w:val="none" w:sz="0" w:space="0" w:color="auto"/>
          </w:divBdr>
        </w:div>
        <w:div w:id="755833465">
          <w:marLeft w:val="0"/>
          <w:marRight w:val="0"/>
          <w:marTop w:val="0"/>
          <w:marBottom w:val="0"/>
          <w:divBdr>
            <w:top w:val="none" w:sz="0" w:space="0" w:color="auto"/>
            <w:left w:val="none" w:sz="0" w:space="0" w:color="auto"/>
            <w:bottom w:val="none" w:sz="0" w:space="0" w:color="auto"/>
            <w:right w:val="none" w:sz="0" w:space="0" w:color="auto"/>
          </w:divBdr>
        </w:div>
        <w:div w:id="766581729">
          <w:marLeft w:val="0"/>
          <w:marRight w:val="0"/>
          <w:marTop w:val="0"/>
          <w:marBottom w:val="0"/>
          <w:divBdr>
            <w:top w:val="none" w:sz="0" w:space="0" w:color="auto"/>
            <w:left w:val="none" w:sz="0" w:space="0" w:color="auto"/>
            <w:bottom w:val="none" w:sz="0" w:space="0" w:color="auto"/>
            <w:right w:val="none" w:sz="0" w:space="0" w:color="auto"/>
          </w:divBdr>
        </w:div>
        <w:div w:id="656881484">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1986008014">
      <w:bodyDiv w:val="1"/>
      <w:marLeft w:val="0"/>
      <w:marRight w:val="0"/>
      <w:marTop w:val="0"/>
      <w:marBottom w:val="0"/>
      <w:divBdr>
        <w:top w:val="none" w:sz="0" w:space="0" w:color="auto"/>
        <w:left w:val="none" w:sz="0" w:space="0" w:color="auto"/>
        <w:bottom w:val="none" w:sz="0" w:space="0" w:color="auto"/>
        <w:right w:val="none" w:sz="0" w:space="0" w:color="auto"/>
      </w:divBdr>
    </w:div>
    <w:div w:id="1993636656">
      <w:bodyDiv w:val="1"/>
      <w:marLeft w:val="0"/>
      <w:marRight w:val="0"/>
      <w:marTop w:val="0"/>
      <w:marBottom w:val="0"/>
      <w:divBdr>
        <w:top w:val="none" w:sz="0" w:space="0" w:color="auto"/>
        <w:left w:val="none" w:sz="0" w:space="0" w:color="auto"/>
        <w:bottom w:val="none" w:sz="0" w:space="0" w:color="auto"/>
        <w:right w:val="none" w:sz="0" w:space="0" w:color="auto"/>
      </w:divBdr>
      <w:divsChild>
        <w:div w:id="1535536488">
          <w:marLeft w:val="0"/>
          <w:marRight w:val="0"/>
          <w:marTop w:val="0"/>
          <w:marBottom w:val="0"/>
          <w:divBdr>
            <w:top w:val="none" w:sz="0" w:space="0" w:color="auto"/>
            <w:left w:val="none" w:sz="0" w:space="0" w:color="auto"/>
            <w:bottom w:val="none" w:sz="0" w:space="0" w:color="auto"/>
            <w:right w:val="none" w:sz="0" w:space="0" w:color="auto"/>
          </w:divBdr>
        </w:div>
        <w:div w:id="1586766847">
          <w:marLeft w:val="0"/>
          <w:marRight w:val="0"/>
          <w:marTop w:val="0"/>
          <w:marBottom w:val="0"/>
          <w:divBdr>
            <w:top w:val="none" w:sz="0" w:space="0" w:color="auto"/>
            <w:left w:val="none" w:sz="0" w:space="0" w:color="auto"/>
            <w:bottom w:val="none" w:sz="0" w:space="0" w:color="auto"/>
            <w:right w:val="none" w:sz="0" w:space="0" w:color="auto"/>
          </w:divBdr>
        </w:div>
        <w:div w:id="280501410">
          <w:marLeft w:val="0"/>
          <w:marRight w:val="0"/>
          <w:marTop w:val="0"/>
          <w:marBottom w:val="0"/>
          <w:divBdr>
            <w:top w:val="none" w:sz="0" w:space="0" w:color="auto"/>
            <w:left w:val="none" w:sz="0" w:space="0" w:color="auto"/>
            <w:bottom w:val="none" w:sz="0" w:space="0" w:color="auto"/>
            <w:right w:val="none" w:sz="0" w:space="0" w:color="auto"/>
          </w:divBdr>
        </w:div>
        <w:div w:id="2032222944">
          <w:marLeft w:val="0"/>
          <w:marRight w:val="0"/>
          <w:marTop w:val="0"/>
          <w:marBottom w:val="0"/>
          <w:divBdr>
            <w:top w:val="none" w:sz="0" w:space="0" w:color="auto"/>
            <w:left w:val="none" w:sz="0" w:space="0" w:color="auto"/>
            <w:bottom w:val="none" w:sz="0" w:space="0" w:color="auto"/>
            <w:right w:val="none" w:sz="0" w:space="0" w:color="auto"/>
          </w:divBdr>
        </w:div>
        <w:div w:id="750126058">
          <w:marLeft w:val="0"/>
          <w:marRight w:val="0"/>
          <w:marTop w:val="0"/>
          <w:marBottom w:val="0"/>
          <w:divBdr>
            <w:top w:val="none" w:sz="0" w:space="0" w:color="auto"/>
            <w:left w:val="none" w:sz="0" w:space="0" w:color="auto"/>
            <w:bottom w:val="none" w:sz="0" w:space="0" w:color="auto"/>
            <w:right w:val="none" w:sz="0" w:space="0" w:color="auto"/>
          </w:divBdr>
        </w:div>
        <w:div w:id="1120613547">
          <w:marLeft w:val="0"/>
          <w:marRight w:val="0"/>
          <w:marTop w:val="0"/>
          <w:marBottom w:val="0"/>
          <w:divBdr>
            <w:top w:val="none" w:sz="0" w:space="0" w:color="auto"/>
            <w:left w:val="none" w:sz="0" w:space="0" w:color="auto"/>
            <w:bottom w:val="none" w:sz="0" w:space="0" w:color="auto"/>
            <w:right w:val="none" w:sz="0" w:space="0" w:color="auto"/>
          </w:divBdr>
        </w:div>
        <w:div w:id="295718864">
          <w:marLeft w:val="0"/>
          <w:marRight w:val="0"/>
          <w:marTop w:val="0"/>
          <w:marBottom w:val="0"/>
          <w:divBdr>
            <w:top w:val="none" w:sz="0" w:space="0" w:color="auto"/>
            <w:left w:val="none" w:sz="0" w:space="0" w:color="auto"/>
            <w:bottom w:val="none" w:sz="0" w:space="0" w:color="auto"/>
            <w:right w:val="none" w:sz="0" w:space="0" w:color="auto"/>
          </w:divBdr>
        </w:div>
        <w:div w:id="215317572">
          <w:marLeft w:val="0"/>
          <w:marRight w:val="0"/>
          <w:marTop w:val="0"/>
          <w:marBottom w:val="0"/>
          <w:divBdr>
            <w:top w:val="none" w:sz="0" w:space="0" w:color="auto"/>
            <w:left w:val="none" w:sz="0" w:space="0" w:color="auto"/>
            <w:bottom w:val="none" w:sz="0" w:space="0" w:color="auto"/>
            <w:right w:val="none" w:sz="0" w:space="0" w:color="auto"/>
          </w:divBdr>
        </w:div>
        <w:div w:id="1506701796">
          <w:marLeft w:val="0"/>
          <w:marRight w:val="0"/>
          <w:marTop w:val="0"/>
          <w:marBottom w:val="0"/>
          <w:divBdr>
            <w:top w:val="none" w:sz="0" w:space="0" w:color="auto"/>
            <w:left w:val="none" w:sz="0" w:space="0" w:color="auto"/>
            <w:bottom w:val="none" w:sz="0" w:space="0" w:color="auto"/>
            <w:right w:val="none" w:sz="0" w:space="0" w:color="auto"/>
          </w:divBdr>
        </w:div>
        <w:div w:id="1481001242">
          <w:marLeft w:val="0"/>
          <w:marRight w:val="0"/>
          <w:marTop w:val="0"/>
          <w:marBottom w:val="0"/>
          <w:divBdr>
            <w:top w:val="none" w:sz="0" w:space="0" w:color="auto"/>
            <w:left w:val="none" w:sz="0" w:space="0" w:color="auto"/>
            <w:bottom w:val="none" w:sz="0" w:space="0" w:color="auto"/>
            <w:right w:val="none" w:sz="0" w:space="0" w:color="auto"/>
          </w:divBdr>
        </w:div>
        <w:div w:id="2137285635">
          <w:marLeft w:val="0"/>
          <w:marRight w:val="0"/>
          <w:marTop w:val="0"/>
          <w:marBottom w:val="0"/>
          <w:divBdr>
            <w:top w:val="none" w:sz="0" w:space="0" w:color="auto"/>
            <w:left w:val="none" w:sz="0" w:space="0" w:color="auto"/>
            <w:bottom w:val="none" w:sz="0" w:space="0" w:color="auto"/>
            <w:right w:val="none" w:sz="0" w:space="0" w:color="auto"/>
          </w:divBdr>
        </w:div>
        <w:div w:id="484250135">
          <w:marLeft w:val="0"/>
          <w:marRight w:val="0"/>
          <w:marTop w:val="0"/>
          <w:marBottom w:val="0"/>
          <w:divBdr>
            <w:top w:val="none" w:sz="0" w:space="0" w:color="auto"/>
            <w:left w:val="none" w:sz="0" w:space="0" w:color="auto"/>
            <w:bottom w:val="none" w:sz="0" w:space="0" w:color="auto"/>
            <w:right w:val="none" w:sz="0" w:space="0" w:color="auto"/>
          </w:divBdr>
          <w:divsChild>
            <w:div w:id="669406979">
              <w:marLeft w:val="0"/>
              <w:marRight w:val="0"/>
              <w:marTop w:val="0"/>
              <w:marBottom w:val="0"/>
              <w:divBdr>
                <w:top w:val="none" w:sz="0" w:space="0" w:color="auto"/>
                <w:left w:val="none" w:sz="0" w:space="0" w:color="auto"/>
                <w:bottom w:val="none" w:sz="0" w:space="0" w:color="auto"/>
                <w:right w:val="none" w:sz="0" w:space="0" w:color="auto"/>
              </w:divBdr>
            </w:div>
          </w:divsChild>
        </w:div>
        <w:div w:id="8262030">
          <w:marLeft w:val="0"/>
          <w:marRight w:val="0"/>
          <w:marTop w:val="0"/>
          <w:marBottom w:val="0"/>
          <w:divBdr>
            <w:top w:val="none" w:sz="0" w:space="0" w:color="auto"/>
            <w:left w:val="none" w:sz="0" w:space="0" w:color="auto"/>
            <w:bottom w:val="none" w:sz="0" w:space="0" w:color="auto"/>
            <w:right w:val="none" w:sz="0" w:space="0" w:color="auto"/>
          </w:divBdr>
        </w:div>
        <w:div w:id="527834782">
          <w:marLeft w:val="0"/>
          <w:marRight w:val="0"/>
          <w:marTop w:val="0"/>
          <w:marBottom w:val="0"/>
          <w:divBdr>
            <w:top w:val="none" w:sz="0" w:space="0" w:color="auto"/>
            <w:left w:val="none" w:sz="0" w:space="0" w:color="auto"/>
            <w:bottom w:val="none" w:sz="0" w:space="0" w:color="auto"/>
            <w:right w:val="none" w:sz="0" w:space="0" w:color="auto"/>
          </w:divBdr>
          <w:divsChild>
            <w:div w:id="1989674694">
              <w:marLeft w:val="0"/>
              <w:marRight w:val="0"/>
              <w:marTop w:val="0"/>
              <w:marBottom w:val="0"/>
              <w:divBdr>
                <w:top w:val="none" w:sz="0" w:space="0" w:color="auto"/>
                <w:left w:val="none" w:sz="0" w:space="0" w:color="auto"/>
                <w:bottom w:val="none" w:sz="0" w:space="0" w:color="auto"/>
                <w:right w:val="none" w:sz="0" w:space="0" w:color="auto"/>
              </w:divBdr>
            </w:div>
            <w:div w:id="1859852360">
              <w:marLeft w:val="0"/>
              <w:marRight w:val="0"/>
              <w:marTop w:val="0"/>
              <w:marBottom w:val="0"/>
              <w:divBdr>
                <w:top w:val="none" w:sz="0" w:space="0" w:color="auto"/>
                <w:left w:val="none" w:sz="0" w:space="0" w:color="auto"/>
                <w:bottom w:val="none" w:sz="0" w:space="0" w:color="auto"/>
                <w:right w:val="none" w:sz="0" w:space="0" w:color="auto"/>
              </w:divBdr>
            </w:div>
          </w:divsChild>
        </w:div>
        <w:div w:id="726030809">
          <w:marLeft w:val="0"/>
          <w:marRight w:val="0"/>
          <w:marTop w:val="0"/>
          <w:marBottom w:val="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2241014">
      <w:bodyDiv w:val="1"/>
      <w:marLeft w:val="0"/>
      <w:marRight w:val="0"/>
      <w:marTop w:val="0"/>
      <w:marBottom w:val="0"/>
      <w:divBdr>
        <w:top w:val="none" w:sz="0" w:space="0" w:color="auto"/>
        <w:left w:val="none" w:sz="0" w:space="0" w:color="auto"/>
        <w:bottom w:val="none" w:sz="0" w:space="0" w:color="auto"/>
        <w:right w:val="none" w:sz="0" w:space="0" w:color="auto"/>
      </w:divBdr>
      <w:divsChild>
        <w:div w:id="1273902782">
          <w:marLeft w:val="0"/>
          <w:marRight w:val="0"/>
          <w:marTop w:val="0"/>
          <w:marBottom w:val="0"/>
          <w:divBdr>
            <w:top w:val="none" w:sz="0" w:space="0" w:color="auto"/>
            <w:left w:val="none" w:sz="0" w:space="0" w:color="auto"/>
            <w:bottom w:val="none" w:sz="0" w:space="0" w:color="auto"/>
            <w:right w:val="none" w:sz="0" w:space="0" w:color="auto"/>
          </w:divBdr>
        </w:div>
        <w:div w:id="701173445">
          <w:marLeft w:val="0"/>
          <w:marRight w:val="0"/>
          <w:marTop w:val="0"/>
          <w:marBottom w:val="0"/>
          <w:divBdr>
            <w:top w:val="none" w:sz="0" w:space="0" w:color="auto"/>
            <w:left w:val="none" w:sz="0" w:space="0" w:color="auto"/>
            <w:bottom w:val="none" w:sz="0" w:space="0" w:color="auto"/>
            <w:right w:val="none" w:sz="0" w:space="0" w:color="auto"/>
          </w:divBdr>
        </w:div>
        <w:div w:id="449469729">
          <w:marLeft w:val="0"/>
          <w:marRight w:val="0"/>
          <w:marTop w:val="0"/>
          <w:marBottom w:val="0"/>
          <w:divBdr>
            <w:top w:val="none" w:sz="0" w:space="0" w:color="auto"/>
            <w:left w:val="none" w:sz="0" w:space="0" w:color="auto"/>
            <w:bottom w:val="none" w:sz="0" w:space="0" w:color="auto"/>
            <w:right w:val="none" w:sz="0" w:space="0" w:color="auto"/>
          </w:divBdr>
        </w:div>
        <w:div w:id="1597904724">
          <w:marLeft w:val="0"/>
          <w:marRight w:val="0"/>
          <w:marTop w:val="0"/>
          <w:marBottom w:val="0"/>
          <w:divBdr>
            <w:top w:val="none" w:sz="0" w:space="0" w:color="auto"/>
            <w:left w:val="none" w:sz="0" w:space="0" w:color="auto"/>
            <w:bottom w:val="none" w:sz="0" w:space="0" w:color="auto"/>
            <w:right w:val="none" w:sz="0" w:space="0" w:color="auto"/>
          </w:divBdr>
        </w:div>
        <w:div w:id="1894846618">
          <w:marLeft w:val="0"/>
          <w:marRight w:val="0"/>
          <w:marTop w:val="0"/>
          <w:marBottom w:val="0"/>
          <w:divBdr>
            <w:top w:val="none" w:sz="0" w:space="0" w:color="auto"/>
            <w:left w:val="none" w:sz="0" w:space="0" w:color="auto"/>
            <w:bottom w:val="none" w:sz="0" w:space="0" w:color="auto"/>
            <w:right w:val="none" w:sz="0" w:space="0" w:color="auto"/>
          </w:divBdr>
        </w:div>
        <w:div w:id="2003267865">
          <w:marLeft w:val="0"/>
          <w:marRight w:val="0"/>
          <w:marTop w:val="0"/>
          <w:marBottom w:val="0"/>
          <w:divBdr>
            <w:top w:val="none" w:sz="0" w:space="0" w:color="auto"/>
            <w:left w:val="none" w:sz="0" w:space="0" w:color="auto"/>
            <w:bottom w:val="none" w:sz="0" w:space="0" w:color="auto"/>
            <w:right w:val="none" w:sz="0" w:space="0" w:color="auto"/>
          </w:divBdr>
        </w:div>
      </w:divsChild>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70958124">
      <w:bodyDiv w:val="1"/>
      <w:marLeft w:val="0"/>
      <w:marRight w:val="0"/>
      <w:marTop w:val="0"/>
      <w:marBottom w:val="0"/>
      <w:divBdr>
        <w:top w:val="none" w:sz="0" w:space="0" w:color="auto"/>
        <w:left w:val="none" w:sz="0" w:space="0" w:color="auto"/>
        <w:bottom w:val="none" w:sz="0" w:space="0" w:color="auto"/>
        <w:right w:val="none" w:sz="0" w:space="0" w:color="auto"/>
      </w:divBdr>
      <w:divsChild>
        <w:div w:id="162665422">
          <w:marLeft w:val="0"/>
          <w:marRight w:val="0"/>
          <w:marTop w:val="0"/>
          <w:marBottom w:val="0"/>
          <w:divBdr>
            <w:top w:val="none" w:sz="0" w:space="0" w:color="auto"/>
            <w:left w:val="none" w:sz="0" w:space="0" w:color="auto"/>
            <w:bottom w:val="none" w:sz="0" w:space="0" w:color="auto"/>
            <w:right w:val="none" w:sz="0" w:space="0" w:color="auto"/>
          </w:divBdr>
        </w:div>
        <w:div w:id="93601396">
          <w:marLeft w:val="0"/>
          <w:marRight w:val="0"/>
          <w:marTop w:val="0"/>
          <w:marBottom w:val="0"/>
          <w:divBdr>
            <w:top w:val="none" w:sz="0" w:space="0" w:color="auto"/>
            <w:left w:val="none" w:sz="0" w:space="0" w:color="auto"/>
            <w:bottom w:val="none" w:sz="0" w:space="0" w:color="auto"/>
            <w:right w:val="none" w:sz="0" w:space="0" w:color="auto"/>
          </w:divBdr>
          <w:divsChild>
            <w:div w:id="313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18061">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391">
      <w:bodyDiv w:val="1"/>
      <w:marLeft w:val="0"/>
      <w:marRight w:val="0"/>
      <w:marTop w:val="0"/>
      <w:marBottom w:val="0"/>
      <w:divBdr>
        <w:top w:val="none" w:sz="0" w:space="0" w:color="auto"/>
        <w:left w:val="none" w:sz="0" w:space="0" w:color="auto"/>
        <w:bottom w:val="none" w:sz="0" w:space="0" w:color="auto"/>
        <w:right w:val="none" w:sz="0" w:space="0" w:color="auto"/>
      </w:divBdr>
      <w:divsChild>
        <w:div w:id="12654545">
          <w:marLeft w:val="0"/>
          <w:marRight w:val="0"/>
          <w:marTop w:val="0"/>
          <w:marBottom w:val="0"/>
          <w:divBdr>
            <w:top w:val="none" w:sz="0" w:space="0" w:color="auto"/>
            <w:left w:val="none" w:sz="0" w:space="0" w:color="auto"/>
            <w:bottom w:val="none" w:sz="0" w:space="0" w:color="auto"/>
            <w:right w:val="none" w:sz="0" w:space="0" w:color="auto"/>
          </w:divBdr>
        </w:div>
        <w:div w:id="905577216">
          <w:marLeft w:val="0"/>
          <w:marRight w:val="0"/>
          <w:marTop w:val="0"/>
          <w:marBottom w:val="0"/>
          <w:divBdr>
            <w:top w:val="none" w:sz="0" w:space="0" w:color="auto"/>
            <w:left w:val="none" w:sz="0" w:space="0" w:color="auto"/>
            <w:bottom w:val="none" w:sz="0" w:space="0" w:color="auto"/>
            <w:right w:val="none" w:sz="0" w:space="0" w:color="auto"/>
          </w:divBdr>
        </w:div>
        <w:div w:id="359551953">
          <w:marLeft w:val="0"/>
          <w:marRight w:val="0"/>
          <w:marTop w:val="0"/>
          <w:marBottom w:val="0"/>
          <w:divBdr>
            <w:top w:val="none" w:sz="0" w:space="0" w:color="auto"/>
            <w:left w:val="none" w:sz="0" w:space="0" w:color="auto"/>
            <w:bottom w:val="none" w:sz="0" w:space="0" w:color="auto"/>
            <w:right w:val="none" w:sz="0" w:space="0" w:color="auto"/>
          </w:divBdr>
        </w:div>
        <w:div w:id="563301817">
          <w:marLeft w:val="0"/>
          <w:marRight w:val="0"/>
          <w:marTop w:val="0"/>
          <w:marBottom w:val="0"/>
          <w:divBdr>
            <w:top w:val="none" w:sz="0" w:space="0" w:color="auto"/>
            <w:left w:val="none" w:sz="0" w:space="0" w:color="auto"/>
            <w:bottom w:val="none" w:sz="0" w:space="0" w:color="auto"/>
            <w:right w:val="none" w:sz="0" w:space="0" w:color="auto"/>
          </w:divBdr>
        </w:div>
        <w:div w:id="1515878678">
          <w:marLeft w:val="0"/>
          <w:marRight w:val="0"/>
          <w:marTop w:val="0"/>
          <w:marBottom w:val="0"/>
          <w:divBdr>
            <w:top w:val="none" w:sz="0" w:space="0" w:color="auto"/>
            <w:left w:val="none" w:sz="0" w:space="0" w:color="auto"/>
            <w:bottom w:val="none" w:sz="0" w:space="0" w:color="auto"/>
            <w:right w:val="none" w:sz="0" w:space="0" w:color="auto"/>
          </w:divBdr>
        </w:div>
        <w:div w:id="1992518003">
          <w:marLeft w:val="0"/>
          <w:marRight w:val="0"/>
          <w:marTop w:val="0"/>
          <w:marBottom w:val="0"/>
          <w:divBdr>
            <w:top w:val="none" w:sz="0" w:space="0" w:color="auto"/>
            <w:left w:val="none" w:sz="0" w:space="0" w:color="auto"/>
            <w:bottom w:val="none" w:sz="0" w:space="0" w:color="auto"/>
            <w:right w:val="none" w:sz="0" w:space="0" w:color="auto"/>
          </w:divBdr>
        </w:div>
        <w:div w:id="448428964">
          <w:marLeft w:val="0"/>
          <w:marRight w:val="0"/>
          <w:marTop w:val="0"/>
          <w:marBottom w:val="0"/>
          <w:divBdr>
            <w:top w:val="none" w:sz="0" w:space="0" w:color="auto"/>
            <w:left w:val="none" w:sz="0" w:space="0" w:color="auto"/>
            <w:bottom w:val="none" w:sz="0" w:space="0" w:color="auto"/>
            <w:right w:val="none" w:sz="0" w:space="0" w:color="auto"/>
          </w:divBdr>
        </w:div>
      </w:divsChild>
    </w:div>
    <w:div w:id="2096440521">
      <w:bodyDiv w:val="1"/>
      <w:marLeft w:val="0"/>
      <w:marRight w:val="0"/>
      <w:marTop w:val="0"/>
      <w:marBottom w:val="0"/>
      <w:divBdr>
        <w:top w:val="none" w:sz="0" w:space="0" w:color="auto"/>
        <w:left w:val="none" w:sz="0" w:space="0" w:color="auto"/>
        <w:bottom w:val="none" w:sz="0" w:space="0" w:color="auto"/>
        <w:right w:val="none" w:sz="0" w:space="0" w:color="auto"/>
      </w:divBdr>
      <w:divsChild>
        <w:div w:id="1195190979">
          <w:marLeft w:val="0"/>
          <w:marRight w:val="0"/>
          <w:marTop w:val="0"/>
          <w:marBottom w:val="0"/>
          <w:divBdr>
            <w:top w:val="none" w:sz="0" w:space="0" w:color="auto"/>
            <w:left w:val="none" w:sz="0" w:space="0" w:color="auto"/>
            <w:bottom w:val="none" w:sz="0" w:space="0" w:color="auto"/>
            <w:right w:val="none" w:sz="0" w:space="0" w:color="auto"/>
          </w:divBdr>
        </w:div>
        <w:div w:id="77872212">
          <w:marLeft w:val="0"/>
          <w:marRight w:val="0"/>
          <w:marTop w:val="0"/>
          <w:marBottom w:val="0"/>
          <w:divBdr>
            <w:top w:val="none" w:sz="0" w:space="0" w:color="auto"/>
            <w:left w:val="none" w:sz="0" w:space="0" w:color="auto"/>
            <w:bottom w:val="none" w:sz="0" w:space="0" w:color="auto"/>
            <w:right w:val="none" w:sz="0" w:space="0" w:color="auto"/>
          </w:divBdr>
        </w:div>
        <w:div w:id="8652236">
          <w:marLeft w:val="0"/>
          <w:marRight w:val="0"/>
          <w:marTop w:val="0"/>
          <w:marBottom w:val="0"/>
          <w:divBdr>
            <w:top w:val="none" w:sz="0" w:space="0" w:color="auto"/>
            <w:left w:val="none" w:sz="0" w:space="0" w:color="auto"/>
            <w:bottom w:val="none" w:sz="0" w:space="0" w:color="auto"/>
            <w:right w:val="none" w:sz="0" w:space="0" w:color="auto"/>
          </w:divBdr>
        </w:div>
        <w:div w:id="2138453626">
          <w:marLeft w:val="0"/>
          <w:marRight w:val="0"/>
          <w:marTop w:val="0"/>
          <w:marBottom w:val="0"/>
          <w:divBdr>
            <w:top w:val="none" w:sz="0" w:space="0" w:color="auto"/>
            <w:left w:val="none" w:sz="0" w:space="0" w:color="auto"/>
            <w:bottom w:val="none" w:sz="0" w:space="0" w:color="auto"/>
            <w:right w:val="none" w:sz="0" w:space="0" w:color="auto"/>
          </w:divBdr>
          <w:divsChild>
            <w:div w:id="3273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1104995">
      <w:bodyDiv w:val="1"/>
      <w:marLeft w:val="0"/>
      <w:marRight w:val="0"/>
      <w:marTop w:val="0"/>
      <w:marBottom w:val="0"/>
      <w:divBdr>
        <w:top w:val="none" w:sz="0" w:space="0" w:color="auto"/>
        <w:left w:val="none" w:sz="0" w:space="0" w:color="auto"/>
        <w:bottom w:val="none" w:sz="0" w:space="0" w:color="auto"/>
        <w:right w:val="none" w:sz="0" w:space="0" w:color="auto"/>
      </w:divBdr>
      <w:divsChild>
        <w:div w:id="733427109">
          <w:marLeft w:val="0"/>
          <w:marRight w:val="0"/>
          <w:marTop w:val="0"/>
          <w:marBottom w:val="0"/>
          <w:divBdr>
            <w:top w:val="none" w:sz="0" w:space="0" w:color="auto"/>
            <w:left w:val="none" w:sz="0" w:space="0" w:color="auto"/>
            <w:bottom w:val="none" w:sz="0" w:space="0" w:color="auto"/>
            <w:right w:val="none" w:sz="0" w:space="0" w:color="auto"/>
          </w:divBdr>
        </w:div>
        <w:div w:id="2016228818">
          <w:marLeft w:val="0"/>
          <w:marRight w:val="0"/>
          <w:marTop w:val="0"/>
          <w:marBottom w:val="0"/>
          <w:divBdr>
            <w:top w:val="none" w:sz="0" w:space="0" w:color="auto"/>
            <w:left w:val="none" w:sz="0" w:space="0" w:color="auto"/>
            <w:bottom w:val="none" w:sz="0" w:space="0" w:color="auto"/>
            <w:right w:val="none" w:sz="0" w:space="0" w:color="auto"/>
          </w:divBdr>
        </w:div>
        <w:div w:id="1058482232">
          <w:marLeft w:val="0"/>
          <w:marRight w:val="0"/>
          <w:marTop w:val="0"/>
          <w:marBottom w:val="0"/>
          <w:divBdr>
            <w:top w:val="none" w:sz="0" w:space="0" w:color="auto"/>
            <w:left w:val="none" w:sz="0" w:space="0" w:color="auto"/>
            <w:bottom w:val="none" w:sz="0" w:space="0" w:color="auto"/>
            <w:right w:val="none" w:sz="0" w:space="0" w:color="auto"/>
          </w:divBdr>
        </w:div>
      </w:divsChild>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43503" TargetMode="External"/><Relationship Id="rId13" Type="http://schemas.openxmlformats.org/officeDocument/2006/relationships/hyperlink" Target="http://tfsprod.mef.gov.it/tfs/cloudify-noipa/WorkItemTracking/workitem.aspx?artifactMoniker=43507&amp;Rev=27" TargetMode="External"/><Relationship Id="rId18" Type="http://schemas.openxmlformats.org/officeDocument/2006/relationships/hyperlink" Target="http://tfsprod.mef.gov.it/tfs/web/wi.aspx?pcguid=3386bb2f-8429-493a-9ac0-2b7a589ccf8c&amp;id=43511" TargetMode="External"/><Relationship Id="rId26" Type="http://schemas.openxmlformats.org/officeDocument/2006/relationships/hyperlink" Target="http://tfsprod.mef.gov.it/tfs/web/wi.aspx?pcguid=3386bb2f-8429-493a-9ac0-2b7a589ccf8c&amp;id=43516" TargetMode="External"/><Relationship Id="rId3" Type="http://schemas.openxmlformats.org/officeDocument/2006/relationships/settings" Target="settings.xml"/><Relationship Id="rId21" Type="http://schemas.openxmlformats.org/officeDocument/2006/relationships/hyperlink" Target="http://tfsprod.mef.gov.it/tfs/cloudify-noipa/WorkItemTracking/workitem.aspx?artifactMoniker=43512&amp;Rev=25"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tfsprod.mef.gov.it/tfs/web/wi.aspx?pcguid=3386bb2f-8429-493a-9ac0-2b7a589ccf8c&amp;id=43507" TargetMode="External"/><Relationship Id="rId17" Type="http://schemas.openxmlformats.org/officeDocument/2006/relationships/hyperlink" Target="http://tfsprod.mef.gov.it/tfs/cloudify-noipa/WorkItemTracking/workitem.aspx?artifactMoniker=43510&amp;Rev=31" TargetMode="External"/><Relationship Id="rId25" Type="http://schemas.openxmlformats.org/officeDocument/2006/relationships/hyperlink" Target="http://tfsprod.mef.gov.it/tfs/cloudify-noipa/WorkItemTracking/workitem.aspx?artifactMoniker=43515&amp;Rev=33"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43510" TargetMode="External"/><Relationship Id="rId20" Type="http://schemas.openxmlformats.org/officeDocument/2006/relationships/hyperlink" Target="http://tfsprod.mef.gov.it/tfs/web/wi.aspx?pcguid=3386bb2f-8429-493a-9ac0-2b7a589ccf8c&amp;id=43512" TargetMode="External"/><Relationship Id="rId29" Type="http://schemas.openxmlformats.org/officeDocument/2006/relationships/hyperlink" Target="http://tfsprod.mef.gov.it/tfs/cloudify-noipa/WorkItemTracking/workitem.aspx?artifactMoniker=43565&amp;Rev=19"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43502&amp;Rev=67" TargetMode="External"/><Relationship Id="rId11" Type="http://schemas.openxmlformats.org/officeDocument/2006/relationships/hyperlink" Target="http://tfsprod.mef.gov.it/tfs/cloudify-noipa/WorkItemTracking/workitem.aspx?artifactMoniker=43504&amp;Rev=31" TargetMode="External"/><Relationship Id="rId24" Type="http://schemas.openxmlformats.org/officeDocument/2006/relationships/hyperlink" Target="http://tfsprod.mef.gov.it/tfs/web/wi.aspx?pcguid=3386bb2f-8429-493a-9ac0-2b7a589ccf8c&amp;id=43515" TargetMode="External"/><Relationship Id="rId32" Type="http://schemas.openxmlformats.org/officeDocument/2006/relationships/header" Target="header1.xml"/><Relationship Id="rId5" Type="http://schemas.openxmlformats.org/officeDocument/2006/relationships/hyperlink" Target="http://tfsprod.mef.gov.it/tfs/web/wi.aspx?pcguid=3386bb2f-8429-493a-9ac0-2b7a589ccf8c&amp;id=43502" TargetMode="External"/><Relationship Id="rId15" Type="http://schemas.openxmlformats.org/officeDocument/2006/relationships/hyperlink" Target="http://tfsprod.mef.gov.it/tfs/cloudify-noipa/WorkItemTracking/workitem.aspx?artifactMoniker=43509&amp;Rev=37" TargetMode="External"/><Relationship Id="rId23" Type="http://schemas.openxmlformats.org/officeDocument/2006/relationships/hyperlink" Target="http://tfsprod.mef.gov.it/tfs/cloudify-noipa/WorkItemTracking/workitem.aspx?artifactMoniker=43513&amp;Rev=31" TargetMode="External"/><Relationship Id="rId28" Type="http://schemas.openxmlformats.org/officeDocument/2006/relationships/hyperlink" Target="http://tfsprod.mef.gov.it/tfs/web/wi.aspx?pcguid=3386bb2f-8429-493a-9ac0-2b7a589ccf8c&amp;id=43565" TargetMode="External"/><Relationship Id="rId36" Type="http://schemas.openxmlformats.org/officeDocument/2006/relationships/theme" Target="theme/theme1.xml"/><Relationship Id="rId10" Type="http://schemas.openxmlformats.org/officeDocument/2006/relationships/hyperlink" Target="http://tfsprod.mef.gov.it/tfs/web/wi.aspx?pcguid=3386bb2f-8429-493a-9ac0-2b7a589ccf8c&amp;id=43504" TargetMode="External"/><Relationship Id="rId19" Type="http://schemas.openxmlformats.org/officeDocument/2006/relationships/hyperlink" Target="http://tfsprod.mef.gov.it/tfs/cloudify-noipa/WorkItemTracking/workitem.aspx?artifactMoniker=43511&amp;Rev=31" TargetMode="External"/><Relationship Id="rId31" Type="http://schemas.openxmlformats.org/officeDocument/2006/relationships/hyperlink" Target="http://10.254.4.30:10000/cgi-bin/FulShow?TIPO=5&amp;NOTXT=1&amp;KEY=01LX0000120045" TargetMode="Externa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43503&amp;Rev=38" TargetMode="External"/><Relationship Id="rId14" Type="http://schemas.openxmlformats.org/officeDocument/2006/relationships/hyperlink" Target="http://tfsprod.mef.gov.it/tfs/web/wi.aspx?pcguid=3386bb2f-8429-493a-9ac0-2b7a589ccf8c&amp;id=43509" TargetMode="External"/><Relationship Id="rId22" Type="http://schemas.openxmlformats.org/officeDocument/2006/relationships/hyperlink" Target="http://tfsprod.mef.gov.it/tfs/web/wi.aspx?pcguid=3386bb2f-8429-493a-9ac0-2b7a589ccf8c&amp;id=43513" TargetMode="External"/><Relationship Id="rId27" Type="http://schemas.openxmlformats.org/officeDocument/2006/relationships/hyperlink" Target="http://tfsprod.mef.gov.it/tfs/cloudify-noipa/WorkItemTracking/workitem.aspx?artifactMoniker=43516&amp;Rev=19" TargetMode="External"/><Relationship Id="rId30" Type="http://schemas.openxmlformats.org/officeDocument/2006/relationships/hyperlink" Target="http://10.254.4.30:10000/cgi-bin/FulShow?TIPO=5&amp;NOTXT=1&amp;KEY=01LX0000107958" TargetMode="External"/><Relationship Id="rId35"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15783A"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16797</Words>
  <Characters>95749</Characters>
  <Application>Microsoft Office Word</Application>
  <DocSecurity>0</DocSecurity>
  <Lines>797</Lines>
  <Paragraphs>224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2020-11-12T17:21:00Z</dcterms:created>
  <dcterms:modified xsi:type="dcterms:W3CDTF">2020-11-12T17:21:00Z</dcterms:modified>
</cp:coreProperties>
</file>